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320" w:after="360"/>
        <w:jc w:val="center"/>
      </w:pPr>
      <w:r>
        <w:rPr>
          <w:rFonts w:ascii="Calibri" w:hAnsi="Calibri"/>
          <w:b/>
          <w:i w:val="0"/>
          <w:color w:val="B5121B"/>
          <w:sz w:val="18"/>
        </w:rPr>
        <w:t>ЩОДЕННА УКРАЇНСЬКА ГАЗЕТА</w:t>
      </w:r>
    </w:p>
    <w:p>
      <w:pPr>
        <w:spacing w:after="100"/>
        <w:jc w:val="center"/>
      </w:pPr>
      <w:r>
        <w:rPr>
          <w:rFonts w:ascii="Georgia" w:hAnsi="Georgia"/>
          <w:b/>
          <w:i w:val="0"/>
          <w:color w:val="11140F"/>
          <w:sz w:val="76"/>
        </w:rPr>
        <w:t>СУРМАЧ</w:t>
      </w:r>
    </w:p>
    <w:p>
      <w:pPr>
        <w:spacing w:after="560"/>
        <w:jc w:val="center"/>
      </w:pPr>
      <w:r>
        <w:rPr>
          <w:rFonts w:ascii="Georgia" w:hAnsi="Georgia"/>
          <w:b w:val="0"/>
          <w:i/>
          <w:color w:val="687163"/>
          <w:sz w:val="26"/>
        </w:rPr>
        <w:t>Оперативно, перевірено, по суті.</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80" w:type="dxa"/>
              <w:start w:w="120" w:type="dxa"/>
              <w:bottom w:w="80" w:type="dxa"/>
              <w:end w:w="120" w:type="dxa"/>
            </w:tcMar>
            <w:shd w:fill="151515"/>
            <w:vAlign w:val="center"/>
          </w:tcPr>
          <w:p>
            <w:pPr>
              <w:spacing w:before="140" w:after="140"/>
              <w:jc w:val="center"/>
            </w:pPr>
            <w:r>
              <w:rPr>
                <w:rFonts w:ascii="Calibri" w:hAnsi="Calibri"/>
                <w:b/>
                <w:i w:val="0"/>
                <w:color w:val="F4E7D2"/>
                <w:sz w:val="15"/>
              </w:rPr>
              <w:t>ВИПУСК</w:t>
              <w:br/>
            </w:r>
            <w:r>
              <w:rPr>
                <w:rFonts w:ascii="Calibri" w:hAnsi="Calibri"/>
                <w:b/>
                <w:i w:val="0"/>
                <w:color w:val="FFFFFF"/>
                <w:sz w:val="22"/>
              </w:rPr>
              <w:t>№003</w:t>
            </w:r>
          </w:p>
        </w:tc>
        <w:tc>
          <w:tcPr>
            <w:tcW w:type="dxa" w:w="3120"/>
            <w:tcMar>
              <w:top w:w="80" w:type="dxa"/>
              <w:start w:w="120" w:type="dxa"/>
              <w:bottom w:w="80" w:type="dxa"/>
              <w:end w:w="120" w:type="dxa"/>
            </w:tcMar>
            <w:shd w:fill="151515"/>
            <w:vAlign w:val="center"/>
          </w:tcPr>
          <w:p>
            <w:pPr>
              <w:spacing w:before="140" w:after="140"/>
              <w:jc w:val="center"/>
            </w:pPr>
            <w:r>
              <w:rPr>
                <w:rFonts w:ascii="Calibri" w:hAnsi="Calibri"/>
                <w:b/>
                <w:i w:val="0"/>
                <w:color w:val="F4E7D2"/>
                <w:sz w:val="15"/>
              </w:rPr>
              <w:t>ДАТА</w:t>
              <w:br/>
            </w:r>
            <w:r>
              <w:rPr>
                <w:rFonts w:ascii="Calibri" w:hAnsi="Calibri"/>
                <w:b/>
                <w:i w:val="0"/>
                <w:color w:val="FFFFFF"/>
                <w:sz w:val="22"/>
              </w:rPr>
              <w:t>28 ЛИПНЯ 2026</w:t>
            </w:r>
          </w:p>
        </w:tc>
        <w:tc>
          <w:tcPr>
            <w:tcW w:type="dxa" w:w="3120"/>
            <w:tcMar>
              <w:top w:w="80" w:type="dxa"/>
              <w:start w:w="120" w:type="dxa"/>
              <w:bottom w:w="80" w:type="dxa"/>
              <w:end w:w="120" w:type="dxa"/>
            </w:tcMar>
            <w:shd w:fill="151515"/>
            <w:vAlign w:val="center"/>
          </w:tcPr>
          <w:p>
            <w:pPr>
              <w:spacing w:before="140" w:after="140"/>
              <w:jc w:val="center"/>
            </w:pPr>
            <w:r>
              <w:rPr>
                <w:rFonts w:ascii="Calibri" w:hAnsi="Calibri"/>
                <w:b/>
                <w:i w:val="0"/>
                <w:color w:val="F4E7D2"/>
                <w:sz w:val="15"/>
              </w:rPr>
              <w:t>ОНОВЛЕНО</w:t>
              <w:br/>
            </w:r>
            <w:r>
              <w:rPr>
                <w:rFonts w:ascii="Calibri" w:hAnsi="Calibri"/>
                <w:b/>
                <w:i w:val="0"/>
                <w:color w:val="FFFFFF"/>
                <w:sz w:val="22"/>
              </w:rPr>
              <w:t>18:00</w:t>
            </w:r>
          </w:p>
        </w:tc>
      </w:tr>
    </w:tbl>
    <w:p>
      <w:pPr>
        <w:spacing w:before="600" w:after="120"/>
        <w:jc w:val="center"/>
      </w:pPr>
      <w:r>
        <w:rPr>
          <w:rFonts w:ascii="Calibri" w:hAnsi="Calibri"/>
          <w:b/>
          <w:i w:val="0"/>
          <w:color w:val="B5121B"/>
          <w:sz w:val="18"/>
        </w:rPr>
        <w:t>МОНІТОРИНГ: 27 ЛИПНЯ 18:00 — 28 ЛИПНЯ 18:00 (КИЇВ)</w:t>
      </w:r>
    </w:p>
    <w:p>
      <w:pPr>
        <w:spacing w:after="840"/>
        <w:jc w:val="center"/>
      </w:pPr>
      <w:r>
        <w:rPr>
          <w:rFonts w:ascii="Calibri" w:hAnsi="Calibri"/>
          <w:b w:val="0"/>
          <w:i w:val="0"/>
          <w:color w:val="687163"/>
          <w:sz w:val="19"/>
        </w:rPr>
        <w:t>Кожна новина містить пряме посилання на офіційне або авторитетне джерело.</w:t>
      </w:r>
    </w:p>
    <w:p>
      <w:r>
        <w:br w:type="page"/>
      </w:r>
    </w:p>
    <w:p>
      <w:pPr>
        <w:spacing w:before="40" w:after="120"/>
        <w:pBdr>
          <w:bottom w:val="single" w:sz="12" w:space="1" w:color="11140F"/>
        </w:pBdr>
      </w:pPr>
      <w:r>
        <w:rPr>
          <w:rFonts w:ascii="Calibri" w:hAnsi="Calibri"/>
          <w:b/>
          <w:i w:val="0"/>
          <w:color w:val="B5121B"/>
          <w:sz w:val="18"/>
        </w:rPr>
        <w:t>КЛЮЧОВІ ЦИФРИ</w:t>
      </w:r>
    </w:p>
    <w:tbl>
      <w:tblPr>
        <w:tblW w:type="dxa" w:w="9360"/>
        <w:tblLayout w:type="fixed"/>
        <w:tblLook w:firstColumn="1" w:firstRow="1" w:lastColumn="0" w:lastRow="0" w:noHBand="0" w:noVBand="1" w:val="04A0"/>
        <w:tblInd w:w="120" w:type="dxa"/>
      </w:tblPr>
      <w:tblGrid>
        <w:gridCol w:w="1560"/>
        <w:gridCol w:w="1560"/>
        <w:gridCol w:w="1560"/>
        <w:gridCol w:w="1560"/>
        <w:gridCol w:w="1560"/>
        <w:gridCol w:w="1560"/>
      </w:tblGrid>
      <w:tr>
        <w:tc>
          <w:tcPr>
            <w:tcW w:type="dxa" w:w="1560"/>
            <w:tcMar>
              <w:top w:w="80" w:type="dxa"/>
              <w:start w:w="120" w:type="dxa"/>
              <w:bottom w:w="80" w:type="dxa"/>
              <w:end w:w="120" w:type="dxa"/>
            </w:tcMar>
            <w:shd w:fill="151515"/>
          </w:tcPr>
          <w:p>
            <w:pPr>
              <w:jc w:val="center"/>
            </w:pPr>
            <w:r>
              <w:rPr>
                <w:rFonts w:ascii="Georgia" w:hAnsi="Georgia"/>
                <w:b/>
                <w:i w:val="0"/>
                <w:color w:val="F4E7D2"/>
                <w:sz w:val="40"/>
              </w:rPr>
              <w:t>81</w:t>
            </w:r>
          </w:p>
        </w:tc>
        <w:tc>
          <w:tcPr>
            <w:tcW w:type="dxa" w:w="1560"/>
            <w:tcMar>
              <w:top w:w="80" w:type="dxa"/>
              <w:start w:w="120" w:type="dxa"/>
              <w:bottom w:w="80" w:type="dxa"/>
              <w:end w:w="120" w:type="dxa"/>
            </w:tcMar>
            <w:shd w:fill="151515"/>
          </w:tcPr>
          <w:p>
            <w:pPr>
              <w:jc w:val="center"/>
            </w:pPr>
            <w:r>
              <w:rPr>
                <w:rFonts w:ascii="Georgia" w:hAnsi="Georgia"/>
                <w:b/>
                <w:i w:val="0"/>
                <w:color w:val="F4E7D2"/>
                <w:sz w:val="40"/>
              </w:rPr>
              <w:t>18</w:t>
            </w:r>
          </w:p>
        </w:tc>
        <w:tc>
          <w:tcPr>
            <w:tcW w:type="dxa" w:w="1560"/>
            <w:tcMar>
              <w:top w:w="80" w:type="dxa"/>
              <w:start w:w="120" w:type="dxa"/>
              <w:bottom w:w="80" w:type="dxa"/>
              <w:end w:w="120" w:type="dxa"/>
            </w:tcMar>
            <w:shd w:fill="151515"/>
          </w:tcPr>
          <w:p>
            <w:pPr>
              <w:jc w:val="center"/>
            </w:pPr>
            <w:r>
              <w:rPr>
                <w:rFonts w:ascii="Georgia" w:hAnsi="Georgia"/>
                <w:b/>
                <w:i w:val="0"/>
                <w:color w:val="F4E7D2"/>
                <w:sz w:val="40"/>
              </w:rPr>
              <w:t>227</w:t>
            </w:r>
          </w:p>
        </w:tc>
        <w:tc>
          <w:tcPr>
            <w:tcW w:type="dxa" w:w="1560"/>
            <w:tcMar>
              <w:top w:w="80" w:type="dxa"/>
              <w:start w:w="120" w:type="dxa"/>
              <w:bottom w:w="80" w:type="dxa"/>
              <w:end w:w="120" w:type="dxa"/>
            </w:tcMar>
            <w:shd w:fill="151515"/>
          </w:tcPr>
          <w:p>
            <w:pPr>
              <w:jc w:val="center"/>
            </w:pPr>
            <w:r>
              <w:rPr>
                <w:rFonts w:ascii="Georgia" w:hAnsi="Georgia"/>
                <w:b/>
                <w:i w:val="0"/>
                <w:color w:val="F4E7D2"/>
                <w:sz w:val="40"/>
              </w:rPr>
              <w:t>131</w:t>
            </w:r>
          </w:p>
        </w:tc>
        <w:tc>
          <w:tcPr>
            <w:tcW w:type="dxa" w:w="1560"/>
            <w:tcMar>
              <w:top w:w="80" w:type="dxa"/>
              <w:start w:w="120" w:type="dxa"/>
              <w:bottom w:w="80" w:type="dxa"/>
              <w:end w:w="120" w:type="dxa"/>
            </w:tcMar>
            <w:shd w:fill="151515"/>
          </w:tcPr>
          <w:p>
            <w:pPr>
              <w:jc w:val="center"/>
            </w:pPr>
            <w:r>
              <w:rPr>
                <w:rFonts w:ascii="Georgia" w:hAnsi="Georgia"/>
                <w:b/>
                <w:i w:val="0"/>
                <w:color w:val="F4E7D2"/>
                <w:sz w:val="40"/>
              </w:rPr>
              <w:t>107</w:t>
            </w:r>
          </w:p>
        </w:tc>
        <w:tc>
          <w:tcPr>
            <w:tcW w:type="dxa" w:w="1560"/>
            <w:tcMar>
              <w:top w:w="80" w:type="dxa"/>
              <w:start w:w="120" w:type="dxa"/>
              <w:bottom w:w="80" w:type="dxa"/>
              <w:end w:w="120" w:type="dxa"/>
            </w:tcMar>
            <w:shd w:fill="151515"/>
          </w:tcPr>
          <w:p>
            <w:pPr>
              <w:jc w:val="center"/>
            </w:pPr>
            <w:r>
              <w:rPr>
                <w:rFonts w:ascii="Georgia" w:hAnsi="Georgia"/>
                <w:b/>
                <w:i w:val="0"/>
                <w:color w:val="F4E7D2"/>
                <w:sz w:val="40"/>
              </w:rPr>
              <w:t>6 400 м</w:t>
            </w:r>
          </w:p>
        </w:tc>
      </w:tr>
      <w:tr>
        <w:tc>
          <w:tcPr>
            <w:tcW w:type="dxa" w:w="1560"/>
            <w:tcMar>
              <w:top w:w="80" w:type="dxa"/>
              <w:start w:w="120" w:type="dxa"/>
              <w:bottom w:w="80" w:type="dxa"/>
              <w:end w:w="120" w:type="dxa"/>
            </w:tcMar>
            <w:shd w:fill="F7F0E5"/>
          </w:tcPr>
          <w:p>
            <w:pPr>
              <w:jc w:val="center"/>
            </w:pPr>
            <w:r>
              <w:rPr>
                <w:rFonts w:ascii="Calibri" w:hAnsi="Calibri"/>
                <w:b w:val="0"/>
                <w:i w:val="0"/>
                <w:color w:val="11140F"/>
                <w:sz w:val="17"/>
              </w:rPr>
              <w:t>атак від початку доби на 16:00</w:t>
            </w:r>
          </w:p>
        </w:tc>
        <w:tc>
          <w:tcPr>
            <w:tcW w:type="dxa" w:w="1560"/>
            <w:tcMar>
              <w:top w:w="80" w:type="dxa"/>
              <w:start w:w="120" w:type="dxa"/>
              <w:bottom w:w="80" w:type="dxa"/>
              <w:end w:w="120" w:type="dxa"/>
            </w:tcMar>
            <w:shd w:fill="F7F0E5"/>
          </w:tcPr>
          <w:p>
            <w:pPr>
              <w:jc w:val="center"/>
            </w:pPr>
            <w:r>
              <w:rPr>
                <w:rFonts w:ascii="Calibri" w:hAnsi="Calibri"/>
                <w:b w:val="0"/>
                <w:i w:val="0"/>
                <w:color w:val="11140F"/>
                <w:sz w:val="17"/>
              </w:rPr>
              <w:t>атак на Покровському напрямку</w:t>
            </w:r>
          </w:p>
        </w:tc>
        <w:tc>
          <w:tcPr>
            <w:tcW w:type="dxa" w:w="1560"/>
            <w:tcMar>
              <w:top w:w="80" w:type="dxa"/>
              <w:start w:w="120" w:type="dxa"/>
              <w:bottom w:w="80" w:type="dxa"/>
              <w:end w:w="120" w:type="dxa"/>
            </w:tcMar>
            <w:shd w:fill="F7F0E5"/>
          </w:tcPr>
          <w:p>
            <w:pPr>
              <w:jc w:val="center"/>
            </w:pPr>
            <w:r>
              <w:rPr>
                <w:rFonts w:ascii="Calibri" w:hAnsi="Calibri"/>
                <w:b w:val="0"/>
                <w:i w:val="0"/>
                <w:color w:val="11140F"/>
                <w:sz w:val="17"/>
              </w:rPr>
              <w:t>зіткнень за попередню добу</w:t>
            </w:r>
          </w:p>
        </w:tc>
        <w:tc>
          <w:tcPr>
            <w:tcW w:type="dxa" w:w="1560"/>
            <w:tcMar>
              <w:top w:w="80" w:type="dxa"/>
              <w:start w:w="120" w:type="dxa"/>
              <w:bottom w:w="80" w:type="dxa"/>
              <w:end w:w="120" w:type="dxa"/>
            </w:tcMar>
            <w:shd w:fill="F7F0E5"/>
          </w:tcPr>
          <w:p>
            <w:pPr>
              <w:jc w:val="center"/>
            </w:pPr>
            <w:r>
              <w:rPr>
                <w:rFonts w:ascii="Calibri" w:hAnsi="Calibri"/>
                <w:b w:val="0"/>
                <w:i w:val="0"/>
                <w:color w:val="11140F"/>
                <w:sz w:val="17"/>
              </w:rPr>
              <w:t>БпЛА у нічній атаці</w:t>
            </w:r>
          </w:p>
        </w:tc>
        <w:tc>
          <w:tcPr>
            <w:tcW w:type="dxa" w:w="1560"/>
            <w:tcMar>
              <w:top w:w="80" w:type="dxa"/>
              <w:start w:w="120" w:type="dxa"/>
              <w:bottom w:w="80" w:type="dxa"/>
              <w:end w:w="120" w:type="dxa"/>
            </w:tcMar>
            <w:shd w:fill="F7F0E5"/>
          </w:tcPr>
          <w:p>
            <w:pPr>
              <w:jc w:val="center"/>
            </w:pPr>
            <w:r>
              <w:rPr>
                <w:rFonts w:ascii="Calibri" w:hAnsi="Calibri"/>
                <w:b w:val="0"/>
                <w:i w:val="0"/>
                <w:color w:val="11140F"/>
                <w:sz w:val="17"/>
              </w:rPr>
              <w:t>БпЛА збито / подавлено</w:t>
            </w:r>
          </w:p>
        </w:tc>
        <w:tc>
          <w:tcPr>
            <w:tcW w:type="dxa" w:w="1560"/>
            <w:tcMar>
              <w:top w:w="80" w:type="dxa"/>
              <w:start w:w="120" w:type="dxa"/>
              <w:bottom w:w="80" w:type="dxa"/>
              <w:end w:w="120" w:type="dxa"/>
            </w:tcMar>
            <w:shd w:fill="F7F0E5"/>
          </w:tcPr>
          <w:p>
            <w:pPr>
              <w:jc w:val="center"/>
            </w:pPr>
            <w:r>
              <w:rPr>
                <w:rFonts w:ascii="Calibri" w:hAnsi="Calibri"/>
                <w:b w:val="0"/>
                <w:i w:val="0"/>
                <w:color w:val="11140F"/>
                <w:sz w:val="17"/>
              </w:rPr>
              <w:t>висота перехоплення ZALA</w:t>
            </w:r>
          </w:p>
        </w:tc>
      </w:tr>
    </w:tbl>
    <w:p>
      <w:pPr>
        <w:spacing w:before="100" w:after="400"/>
      </w:pPr>
      <w:r>
        <w:rPr>
          <w:rFonts w:ascii="Calibri" w:hAnsi="Calibri"/>
          <w:b w:val="0"/>
          <w:i/>
          <w:color w:val="687163"/>
          <w:sz w:val="17"/>
        </w:rPr>
        <w:t>Примітка: оперативні оцінки Генерального штабу ЗСУ можуть уточнюватися.</w:t>
      </w:r>
    </w:p>
    <w:p>
      <w:pPr>
        <w:spacing w:after="120"/>
        <w:pBdr>
          <w:bottom w:val="single" w:sz="12" w:space="1" w:color="11140F"/>
        </w:pBdr>
      </w:pPr>
      <w:r>
        <w:rPr>
          <w:rFonts w:ascii="Calibri" w:hAnsi="Calibri"/>
          <w:b/>
          <w:i w:val="0"/>
          <w:color w:val="B5121B"/>
          <w:sz w:val="18"/>
        </w:rPr>
        <w:t>SURMACH INTELLIGENCE</w:t>
      </w:r>
    </w:p>
    <w:p>
      <w:pPr>
        <w:spacing w:before="200" w:after="300"/>
      </w:pPr>
      <w:r>
        <w:rPr>
          <w:rFonts w:ascii="Georgia" w:hAnsi="Georgia"/>
          <w:b/>
          <w:i w:val="0"/>
          <w:color w:val="11140F"/>
          <w:sz w:val="50"/>
        </w:rPr>
        <w:t>Індекси напруженості та настроїв</w:t>
      </w:r>
    </w:p>
    <w:tbl>
      <w:tblPr>
        <w:tblW w:type="dxa" w:w="9360"/>
        <w:tblLayout w:type="fixed"/>
        <w:tblLook w:firstColumn="1" w:firstRow="1" w:lastColumn="0" w:lastRow="0" w:noHBand="0" w:noVBand="1" w:val="04A0"/>
        <w:tblInd w:w="120" w:type="dxa"/>
      </w:tblPr>
      <w:tblGrid>
        <w:gridCol w:w="2500"/>
        <w:gridCol w:w="6860"/>
      </w:tblGrid>
      <w:tr>
        <w:tc>
          <w:tcPr>
            <w:tcW w:type="dxa" w:w="2500"/>
            <w:tcMar>
              <w:top w:w="80" w:type="dxa"/>
              <w:start w:w="120" w:type="dxa"/>
              <w:bottom w:w="80" w:type="dxa"/>
              <w:end w:w="120" w:type="dxa"/>
            </w:tcMar>
            <w:shd w:fill="B5121B"/>
          </w:tcPr>
          <w:p>
            <w:pPr>
              <w:spacing w:before="260" w:after="260"/>
              <w:jc w:val="center"/>
            </w:pPr>
            <w:r>
              <w:rPr>
                <w:rFonts w:ascii="Calibri" w:hAnsi="Calibri"/>
                <w:b/>
                <w:i w:val="0"/>
                <w:color w:val="F4E7D2"/>
                <w:sz w:val="18"/>
              </w:rPr>
              <w:t>KIS</w:t>
              <w:br/>
            </w:r>
            <w:r>
              <w:rPr>
                <w:rFonts w:ascii="Georgia" w:hAnsi="Georgia"/>
                <w:b/>
                <w:i w:val="0"/>
                <w:color w:val="FFFFFF"/>
                <w:sz w:val="76"/>
              </w:rPr>
              <w:t>89</w:t>
            </w:r>
            <w:r>
              <w:rPr>
                <w:rFonts w:ascii="Calibri" w:hAnsi="Calibri"/>
                <w:b w:val="0"/>
                <w:i w:val="0"/>
                <w:color w:val="F4E7D2"/>
                <w:sz w:val="20"/>
              </w:rPr>
              <w:t>/100</w:t>
            </w:r>
          </w:p>
        </w:tc>
        <w:tc>
          <w:tcPr>
            <w:tcW w:type="dxa" w:w="6860"/>
            <w:tcMar>
              <w:top w:w="80" w:type="dxa"/>
              <w:start w:w="120" w:type="dxa"/>
              <w:bottom w:w="80" w:type="dxa"/>
              <w:end w:w="120" w:type="dxa"/>
            </w:tcMar>
            <w:shd w:fill="F3EDE5"/>
          </w:tcPr>
          <w:p>
            <w:pPr>
              <w:spacing w:before="200" w:after="200"/>
            </w:pPr>
            <w:r>
              <w:rPr>
                <w:rFonts w:ascii="Calibri" w:hAnsi="Calibri"/>
                <w:b/>
                <w:i w:val="0"/>
                <w:color w:val="B5121B"/>
                <w:sz w:val="24"/>
              </w:rPr>
              <w:t>КРИТИЧНО ВИСОКИЙ</w:t>
              <w:br/>
            </w:r>
            <w:r>
              <w:rPr>
                <w:rFonts w:ascii="Calibri" w:hAnsi="Calibri"/>
                <w:b w:val="0"/>
                <w:i w:val="0"/>
                <w:color w:val="11140F"/>
                <w:sz w:val="19"/>
              </w:rPr>
              <w:t>Комплексний індекс напруженості залишився на рівні попереднього модельного зрізу (89/100). Шкала 0–100: більше значення означає вищу сукупну напруженість.</w:t>
            </w:r>
          </w:p>
        </w:tc>
      </w:tr>
    </w:tbl>
    <w:p>
      <w:pPr>
        <w:spacing w:before="340" w:after="120"/>
      </w:pPr>
      <w:r>
        <w:rPr>
          <w:rFonts w:ascii="Calibri" w:hAnsi="Calibri"/>
          <w:b/>
          <w:i w:val="0"/>
          <w:color w:val="B5121B"/>
          <w:sz w:val="18"/>
        </w:rPr>
        <w:t>12 СКЛАДОВИХ KIS</w:t>
      </w:r>
    </w:p>
    <w:tbl>
      <w:tblPr>
        <w:tblW w:type="dxa" w:w="9360"/>
        <w:tblLayout w:type="fixed"/>
        <w:tblLook w:firstColumn="1" w:firstRow="1" w:lastColumn="0" w:lastRow="0" w:noHBand="0" w:noVBand="1" w:val="04A0"/>
        <w:tblInd w:w="120" w:type="dxa"/>
      </w:tblPr>
      <w:tblGrid>
        <w:gridCol w:w="3600"/>
        <w:gridCol w:w="1080"/>
        <w:gridCol w:w="3600"/>
        <w:gridCol w:w="1080"/>
      </w:tblGrid>
      <w:tr>
        <w:tc>
          <w:tcPr>
            <w:tcW w:type="dxa" w:w="3600"/>
            <w:tcMar>
              <w:top w:w="80" w:type="dxa"/>
              <w:start w:w="120" w:type="dxa"/>
              <w:bottom w:w="80" w:type="dxa"/>
              <w:end w:w="120" w:type="dxa"/>
            </w:tcMar>
            <w:shd w:fill="FAF7F2"/>
          </w:tcPr>
          <w:p>
            <w:pPr>
              <w:spacing w:before="40" w:after="40"/>
            </w:pPr>
            <w:r>
              <w:rPr>
                <w:rFonts w:ascii="Calibri" w:hAnsi="Calibri"/>
                <w:b/>
                <w:i w:val="0"/>
                <w:color w:val="11140F"/>
                <w:sz w:val="17"/>
              </w:rPr>
              <w:t>Бойова інтенсивність</w:t>
            </w:r>
          </w:p>
        </w:tc>
        <w:tc>
          <w:tcPr>
            <w:tcW w:type="dxa" w:w="1080"/>
            <w:tcMar>
              <w:top w:w="80" w:type="dxa"/>
              <w:start w:w="120" w:type="dxa"/>
              <w:bottom w:w="80" w:type="dxa"/>
              <w:end w:w="120" w:type="dxa"/>
            </w:tcMar>
            <w:shd w:fill="151515"/>
          </w:tcPr>
          <w:p>
            <w:pPr>
              <w:spacing w:before="40" w:after="40"/>
              <w:jc w:val="center"/>
            </w:pPr>
            <w:r>
              <w:rPr>
                <w:rFonts w:ascii="Georgia" w:hAnsi="Georgia"/>
                <w:b/>
                <w:i w:val="0"/>
                <w:color w:val="FFFFFF"/>
                <w:sz w:val="24"/>
              </w:rPr>
              <w:t>94</w:t>
            </w:r>
          </w:p>
        </w:tc>
        <w:tc>
          <w:tcPr>
            <w:tcW w:type="dxa" w:w="3600"/>
            <w:tcMar>
              <w:top w:w="80" w:type="dxa"/>
              <w:start w:w="120" w:type="dxa"/>
              <w:bottom w:w="80" w:type="dxa"/>
              <w:end w:w="120" w:type="dxa"/>
            </w:tcMar>
            <w:shd w:fill="FAF7F2"/>
          </w:tcPr>
          <w:p>
            <w:pPr>
              <w:spacing w:before="40" w:after="40"/>
            </w:pPr>
            <w:r>
              <w:rPr>
                <w:rFonts w:ascii="Calibri" w:hAnsi="Calibri"/>
                <w:b/>
                <w:i w:val="0"/>
                <w:color w:val="11140F"/>
                <w:sz w:val="17"/>
              </w:rPr>
              <w:t>Дронова загроза</w:t>
            </w:r>
          </w:p>
        </w:tc>
        <w:tc>
          <w:tcPr>
            <w:tcW w:type="dxa" w:w="1080"/>
            <w:tcMar>
              <w:top w:w="80" w:type="dxa"/>
              <w:start w:w="120" w:type="dxa"/>
              <w:bottom w:w="80" w:type="dxa"/>
              <w:end w:w="120" w:type="dxa"/>
            </w:tcMar>
            <w:shd w:fill="151515"/>
          </w:tcPr>
          <w:p>
            <w:pPr>
              <w:spacing w:before="40" w:after="40"/>
              <w:jc w:val="center"/>
            </w:pPr>
            <w:r>
              <w:rPr>
                <w:rFonts w:ascii="Georgia" w:hAnsi="Georgia"/>
                <w:b/>
                <w:i w:val="0"/>
                <w:color w:val="FFFFFF"/>
                <w:sz w:val="24"/>
              </w:rPr>
              <w:t>96</w:t>
            </w:r>
          </w:p>
        </w:tc>
      </w:tr>
      <w:tr>
        <w:tc>
          <w:tcPr>
            <w:tcW w:type="dxa" w:w="3600"/>
            <w:tcMar>
              <w:top w:w="80" w:type="dxa"/>
              <w:start w:w="120" w:type="dxa"/>
              <w:bottom w:w="80" w:type="dxa"/>
              <w:end w:w="120" w:type="dxa"/>
            </w:tcMar>
            <w:shd w:fill="F0E9E0"/>
          </w:tcPr>
          <w:p>
            <w:pPr>
              <w:spacing w:before="40" w:after="40"/>
            </w:pPr>
            <w:r>
              <w:rPr>
                <w:rFonts w:ascii="Calibri" w:hAnsi="Calibri"/>
                <w:b/>
                <w:i w:val="0"/>
                <w:color w:val="11140F"/>
                <w:sz w:val="17"/>
              </w:rPr>
              <w:t>Ракетна загроза</w:t>
            </w:r>
          </w:p>
        </w:tc>
        <w:tc>
          <w:tcPr>
            <w:tcW w:type="dxa" w:w="1080"/>
            <w:tcMar>
              <w:top w:w="80" w:type="dxa"/>
              <w:start w:w="120" w:type="dxa"/>
              <w:bottom w:w="80" w:type="dxa"/>
              <w:end w:w="120" w:type="dxa"/>
            </w:tcMar>
            <w:shd w:fill="B5121B"/>
          </w:tcPr>
          <w:p>
            <w:pPr>
              <w:spacing w:before="40" w:after="40"/>
              <w:jc w:val="center"/>
            </w:pPr>
            <w:r>
              <w:rPr>
                <w:rFonts w:ascii="Georgia" w:hAnsi="Georgia"/>
                <w:b/>
                <w:i w:val="0"/>
                <w:color w:val="FFFFFF"/>
                <w:sz w:val="24"/>
              </w:rPr>
              <w:t>83</w:t>
            </w:r>
          </w:p>
        </w:tc>
        <w:tc>
          <w:tcPr>
            <w:tcW w:type="dxa" w:w="3600"/>
            <w:tcMar>
              <w:top w:w="80" w:type="dxa"/>
              <w:start w:w="120" w:type="dxa"/>
              <w:bottom w:w="80" w:type="dxa"/>
              <w:end w:w="120" w:type="dxa"/>
            </w:tcMar>
            <w:shd w:fill="F0E9E0"/>
          </w:tcPr>
          <w:p>
            <w:pPr>
              <w:spacing w:before="40" w:after="40"/>
            </w:pPr>
            <w:r>
              <w:rPr>
                <w:rFonts w:ascii="Calibri" w:hAnsi="Calibri"/>
                <w:b/>
                <w:i w:val="0"/>
                <w:color w:val="11140F"/>
                <w:sz w:val="17"/>
              </w:rPr>
              <w:t>Артилерійський тиск</w:t>
            </w:r>
          </w:p>
        </w:tc>
        <w:tc>
          <w:tcPr>
            <w:tcW w:type="dxa" w:w="1080"/>
            <w:tcMar>
              <w:top w:w="80" w:type="dxa"/>
              <w:start w:w="120" w:type="dxa"/>
              <w:bottom w:w="80" w:type="dxa"/>
              <w:end w:w="120" w:type="dxa"/>
            </w:tcMar>
            <w:shd w:fill="151515"/>
          </w:tcPr>
          <w:p>
            <w:pPr>
              <w:spacing w:before="40" w:after="40"/>
              <w:jc w:val="center"/>
            </w:pPr>
            <w:r>
              <w:rPr>
                <w:rFonts w:ascii="Georgia" w:hAnsi="Georgia"/>
                <w:b/>
                <w:i w:val="0"/>
                <w:color w:val="FFFFFF"/>
                <w:sz w:val="24"/>
              </w:rPr>
              <w:t>90</w:t>
            </w:r>
          </w:p>
        </w:tc>
      </w:tr>
      <w:tr>
        <w:tc>
          <w:tcPr>
            <w:tcW w:type="dxa" w:w="3600"/>
            <w:tcMar>
              <w:top w:w="80" w:type="dxa"/>
              <w:start w:w="120" w:type="dxa"/>
              <w:bottom w:w="80" w:type="dxa"/>
              <w:end w:w="120" w:type="dxa"/>
            </w:tcMar>
            <w:shd w:fill="FAF7F2"/>
          </w:tcPr>
          <w:p>
            <w:pPr>
              <w:spacing w:before="40" w:after="40"/>
            </w:pPr>
            <w:r>
              <w:rPr>
                <w:rFonts w:ascii="Calibri" w:hAnsi="Calibri"/>
                <w:b/>
                <w:i w:val="0"/>
                <w:color w:val="11140F"/>
                <w:sz w:val="17"/>
              </w:rPr>
              <w:t>Навантаження на ППО</w:t>
            </w:r>
          </w:p>
        </w:tc>
        <w:tc>
          <w:tcPr>
            <w:tcW w:type="dxa" w:w="1080"/>
            <w:tcMar>
              <w:top w:w="80" w:type="dxa"/>
              <w:start w:w="120" w:type="dxa"/>
              <w:bottom w:w="80" w:type="dxa"/>
              <w:end w:w="120" w:type="dxa"/>
            </w:tcMar>
            <w:shd w:fill="151515"/>
          </w:tcPr>
          <w:p>
            <w:pPr>
              <w:spacing w:before="40" w:after="40"/>
              <w:jc w:val="center"/>
            </w:pPr>
            <w:r>
              <w:rPr>
                <w:rFonts w:ascii="Georgia" w:hAnsi="Georgia"/>
                <w:b/>
                <w:i w:val="0"/>
                <w:color w:val="FFFFFF"/>
                <w:sz w:val="24"/>
              </w:rPr>
              <w:t>93</w:t>
            </w:r>
          </w:p>
        </w:tc>
        <w:tc>
          <w:tcPr>
            <w:tcW w:type="dxa" w:w="3600"/>
            <w:tcMar>
              <w:top w:w="80" w:type="dxa"/>
              <w:start w:w="120" w:type="dxa"/>
              <w:bottom w:w="80" w:type="dxa"/>
              <w:end w:w="120" w:type="dxa"/>
            </w:tcMar>
            <w:shd w:fill="FAF7F2"/>
          </w:tcPr>
          <w:p>
            <w:pPr>
              <w:spacing w:before="40" w:after="40"/>
            </w:pPr>
            <w:r>
              <w:rPr>
                <w:rFonts w:ascii="Calibri" w:hAnsi="Calibri"/>
                <w:b/>
                <w:i w:val="0"/>
                <w:color w:val="11140F"/>
                <w:sz w:val="17"/>
              </w:rPr>
              <w:t>Інформаційний тиск</w:t>
            </w:r>
          </w:p>
        </w:tc>
        <w:tc>
          <w:tcPr>
            <w:tcW w:type="dxa" w:w="1080"/>
            <w:tcMar>
              <w:top w:w="80" w:type="dxa"/>
              <w:start w:w="120" w:type="dxa"/>
              <w:bottom w:w="80" w:type="dxa"/>
              <w:end w:w="120" w:type="dxa"/>
            </w:tcMar>
            <w:shd w:fill="B5121B"/>
          </w:tcPr>
          <w:p>
            <w:pPr>
              <w:spacing w:before="40" w:after="40"/>
              <w:jc w:val="center"/>
            </w:pPr>
            <w:r>
              <w:rPr>
                <w:rFonts w:ascii="Georgia" w:hAnsi="Georgia"/>
                <w:b/>
                <w:i w:val="0"/>
                <w:color w:val="FFFFFF"/>
                <w:sz w:val="24"/>
              </w:rPr>
              <w:t>89</w:t>
            </w:r>
          </w:p>
        </w:tc>
      </w:tr>
      <w:tr>
        <w:tc>
          <w:tcPr>
            <w:tcW w:type="dxa" w:w="3600"/>
            <w:tcMar>
              <w:top w:w="80" w:type="dxa"/>
              <w:start w:w="120" w:type="dxa"/>
              <w:bottom w:w="80" w:type="dxa"/>
              <w:end w:w="120" w:type="dxa"/>
            </w:tcMar>
            <w:shd w:fill="F0E9E0"/>
          </w:tcPr>
          <w:p>
            <w:pPr>
              <w:spacing w:before="40" w:after="40"/>
            </w:pPr>
            <w:r>
              <w:rPr>
                <w:rFonts w:ascii="Calibri" w:hAnsi="Calibri"/>
                <w:b/>
                <w:i w:val="0"/>
                <w:color w:val="11140F"/>
                <w:sz w:val="17"/>
              </w:rPr>
              <w:t>Соціальна напруга — Україна</w:t>
            </w:r>
          </w:p>
        </w:tc>
        <w:tc>
          <w:tcPr>
            <w:tcW w:type="dxa" w:w="1080"/>
            <w:tcMar>
              <w:top w:w="80" w:type="dxa"/>
              <w:start w:w="120" w:type="dxa"/>
              <w:bottom w:w="80" w:type="dxa"/>
              <w:end w:w="120" w:type="dxa"/>
            </w:tcMar>
            <w:shd w:fill="B5121B"/>
          </w:tcPr>
          <w:p>
            <w:pPr>
              <w:spacing w:before="40" w:after="40"/>
              <w:jc w:val="center"/>
            </w:pPr>
            <w:r>
              <w:rPr>
                <w:rFonts w:ascii="Georgia" w:hAnsi="Georgia"/>
                <w:b/>
                <w:i w:val="0"/>
                <w:color w:val="FFFFFF"/>
                <w:sz w:val="24"/>
              </w:rPr>
              <w:t>79</w:t>
            </w:r>
          </w:p>
        </w:tc>
        <w:tc>
          <w:tcPr>
            <w:tcW w:type="dxa" w:w="3600"/>
            <w:tcMar>
              <w:top w:w="80" w:type="dxa"/>
              <w:start w:w="120" w:type="dxa"/>
              <w:bottom w:w="80" w:type="dxa"/>
              <w:end w:w="120" w:type="dxa"/>
            </w:tcMar>
            <w:shd w:fill="F0E9E0"/>
          </w:tcPr>
          <w:p>
            <w:pPr>
              <w:spacing w:before="40" w:after="40"/>
            </w:pPr>
            <w:r>
              <w:rPr>
                <w:rFonts w:ascii="Calibri" w:hAnsi="Calibri"/>
                <w:b/>
                <w:i w:val="0"/>
                <w:color w:val="11140F"/>
                <w:sz w:val="17"/>
              </w:rPr>
              <w:t>Соціальна напруга — Росія</w:t>
            </w:r>
          </w:p>
        </w:tc>
        <w:tc>
          <w:tcPr>
            <w:tcW w:type="dxa" w:w="1080"/>
            <w:tcMar>
              <w:top w:w="80" w:type="dxa"/>
              <w:start w:w="120" w:type="dxa"/>
              <w:bottom w:w="80" w:type="dxa"/>
              <w:end w:w="120" w:type="dxa"/>
            </w:tcMar>
            <w:shd w:fill="B5121B"/>
          </w:tcPr>
          <w:p>
            <w:pPr>
              <w:spacing w:before="40" w:after="40"/>
              <w:jc w:val="center"/>
            </w:pPr>
            <w:r>
              <w:rPr>
                <w:rFonts w:ascii="Georgia" w:hAnsi="Georgia"/>
                <w:b/>
                <w:i w:val="0"/>
                <w:color w:val="FFFFFF"/>
                <w:sz w:val="24"/>
              </w:rPr>
              <w:t>86</w:t>
            </w:r>
          </w:p>
        </w:tc>
      </w:tr>
      <w:tr>
        <w:tc>
          <w:tcPr>
            <w:tcW w:type="dxa" w:w="3600"/>
            <w:tcMar>
              <w:top w:w="80" w:type="dxa"/>
              <w:start w:w="120" w:type="dxa"/>
              <w:bottom w:w="80" w:type="dxa"/>
              <w:end w:w="120" w:type="dxa"/>
            </w:tcMar>
            <w:shd w:fill="FAF7F2"/>
          </w:tcPr>
          <w:p>
            <w:pPr>
              <w:spacing w:before="40" w:after="40"/>
            </w:pPr>
            <w:r>
              <w:rPr>
                <w:rFonts w:ascii="Calibri" w:hAnsi="Calibri"/>
                <w:b/>
                <w:i w:val="0"/>
                <w:color w:val="11140F"/>
                <w:sz w:val="17"/>
              </w:rPr>
              <w:t>Економічна напруга — Україна</w:t>
            </w:r>
          </w:p>
        </w:tc>
        <w:tc>
          <w:tcPr>
            <w:tcW w:type="dxa" w:w="1080"/>
            <w:tcMar>
              <w:top w:w="80" w:type="dxa"/>
              <w:start w:w="120" w:type="dxa"/>
              <w:bottom w:w="80" w:type="dxa"/>
              <w:end w:w="120" w:type="dxa"/>
            </w:tcMar>
            <w:shd w:fill="B5121B"/>
          </w:tcPr>
          <w:p>
            <w:pPr>
              <w:spacing w:before="40" w:after="40"/>
              <w:jc w:val="center"/>
            </w:pPr>
            <w:r>
              <w:rPr>
                <w:rFonts w:ascii="Georgia" w:hAnsi="Georgia"/>
                <w:b/>
                <w:i w:val="0"/>
                <w:color w:val="FFFFFF"/>
                <w:sz w:val="24"/>
              </w:rPr>
              <w:t>77</w:t>
            </w:r>
          </w:p>
        </w:tc>
        <w:tc>
          <w:tcPr>
            <w:tcW w:type="dxa" w:w="3600"/>
            <w:tcMar>
              <w:top w:w="80" w:type="dxa"/>
              <w:start w:w="120" w:type="dxa"/>
              <w:bottom w:w="80" w:type="dxa"/>
              <w:end w:w="120" w:type="dxa"/>
            </w:tcMar>
            <w:shd w:fill="FAF7F2"/>
          </w:tcPr>
          <w:p>
            <w:pPr>
              <w:spacing w:before="40" w:after="40"/>
            </w:pPr>
            <w:r>
              <w:rPr>
                <w:rFonts w:ascii="Calibri" w:hAnsi="Calibri"/>
                <w:b/>
                <w:i w:val="0"/>
                <w:color w:val="11140F"/>
                <w:sz w:val="17"/>
              </w:rPr>
              <w:t>Економічна напруга — Росія</w:t>
            </w:r>
          </w:p>
        </w:tc>
        <w:tc>
          <w:tcPr>
            <w:tcW w:type="dxa" w:w="1080"/>
            <w:tcMar>
              <w:top w:w="80" w:type="dxa"/>
              <w:start w:w="120" w:type="dxa"/>
              <w:bottom w:w="80" w:type="dxa"/>
              <w:end w:w="120" w:type="dxa"/>
            </w:tcMar>
            <w:shd w:fill="B5121B"/>
          </w:tcPr>
          <w:p>
            <w:pPr>
              <w:spacing w:before="40" w:after="40"/>
              <w:jc w:val="center"/>
            </w:pPr>
            <w:r>
              <w:rPr>
                <w:rFonts w:ascii="Georgia" w:hAnsi="Georgia"/>
                <w:b/>
                <w:i w:val="0"/>
                <w:color w:val="FFFFFF"/>
                <w:sz w:val="24"/>
              </w:rPr>
              <w:t>88</w:t>
            </w:r>
          </w:p>
        </w:tc>
      </w:tr>
      <w:tr>
        <w:tc>
          <w:tcPr>
            <w:tcW w:type="dxa" w:w="3600"/>
            <w:tcMar>
              <w:top w:w="80" w:type="dxa"/>
              <w:start w:w="120" w:type="dxa"/>
              <w:bottom w:w="80" w:type="dxa"/>
              <w:end w:w="120" w:type="dxa"/>
            </w:tcMar>
            <w:shd w:fill="F0E9E0"/>
          </w:tcPr>
          <w:p>
            <w:pPr>
              <w:spacing w:before="40" w:after="40"/>
            </w:pPr>
            <w:r>
              <w:rPr>
                <w:rFonts w:ascii="Calibri" w:hAnsi="Calibri"/>
                <w:b/>
                <w:i w:val="0"/>
                <w:color w:val="11140F"/>
                <w:sz w:val="17"/>
              </w:rPr>
              <w:t>Міжнародна конфронтація</w:t>
            </w:r>
          </w:p>
        </w:tc>
        <w:tc>
          <w:tcPr>
            <w:tcW w:type="dxa" w:w="1080"/>
            <w:tcMar>
              <w:top w:w="80" w:type="dxa"/>
              <w:start w:w="120" w:type="dxa"/>
              <w:bottom w:w="80" w:type="dxa"/>
              <w:end w:w="120" w:type="dxa"/>
            </w:tcMar>
            <w:shd w:fill="B5121B"/>
          </w:tcPr>
          <w:p>
            <w:pPr>
              <w:spacing w:before="40" w:after="40"/>
              <w:jc w:val="center"/>
            </w:pPr>
            <w:r>
              <w:rPr>
                <w:rFonts w:ascii="Georgia" w:hAnsi="Georgia"/>
                <w:b/>
                <w:i w:val="0"/>
                <w:color w:val="FFFFFF"/>
                <w:sz w:val="24"/>
              </w:rPr>
              <w:t>86</w:t>
            </w:r>
          </w:p>
        </w:tc>
        <w:tc>
          <w:tcPr>
            <w:tcW w:type="dxa" w:w="3600"/>
            <w:tcMar>
              <w:top w:w="80" w:type="dxa"/>
              <w:start w:w="120" w:type="dxa"/>
              <w:bottom w:w="80" w:type="dxa"/>
              <w:end w:w="120" w:type="dxa"/>
            </w:tcMar>
            <w:shd w:fill="F0E9E0"/>
          </w:tcPr>
          <w:p>
            <w:pPr>
              <w:spacing w:before="40" w:after="40"/>
            </w:pPr>
            <w:r>
              <w:rPr>
                <w:rFonts w:ascii="Calibri" w:hAnsi="Calibri"/>
                <w:b/>
                <w:i w:val="0"/>
                <w:color w:val="11140F"/>
                <w:sz w:val="17"/>
              </w:rPr>
              <w:t>Дипломатична невизначеність</w:t>
            </w:r>
          </w:p>
        </w:tc>
        <w:tc>
          <w:tcPr>
            <w:tcW w:type="dxa" w:w="1080"/>
            <w:tcMar>
              <w:top w:w="80" w:type="dxa"/>
              <w:start w:w="120" w:type="dxa"/>
              <w:bottom w:w="80" w:type="dxa"/>
              <w:end w:w="120" w:type="dxa"/>
            </w:tcMar>
            <w:shd w:fill="B5121B"/>
          </w:tcPr>
          <w:p>
            <w:pPr>
              <w:spacing w:before="40" w:after="40"/>
              <w:jc w:val="center"/>
            </w:pPr>
            <w:r>
              <w:rPr>
                <w:rFonts w:ascii="Georgia" w:hAnsi="Georgia"/>
                <w:b/>
                <w:i w:val="0"/>
                <w:color w:val="FFFFFF"/>
                <w:sz w:val="24"/>
              </w:rPr>
              <w:t>80</w:t>
            </w:r>
          </w:p>
        </w:tc>
      </w:tr>
    </w:tbl>
    <w:p>
      <w:r>
        <w:br w:type="page"/>
      </w:r>
    </w:p>
    <w:p>
      <w:pPr>
        <w:spacing w:before="360" w:after="120"/>
      </w:pPr>
      <w:r>
        <w:rPr>
          <w:rFonts w:ascii="Calibri" w:hAnsi="Calibri"/>
          <w:b/>
          <w:i w:val="0"/>
          <w:color w:val="B5121B"/>
          <w:sz w:val="18"/>
        </w:rPr>
        <w:t>МОДЕЛЬНА АНАЛІТИКА НАСТРОЇВ</w:t>
      </w:r>
    </w:p>
    <w:tbl>
      <w:tblPr>
        <w:tblW w:type="dxa" w:w="9360"/>
        <w:tblLayout w:type="fixed"/>
        <w:tblLook w:firstColumn="1" w:firstRow="1" w:lastColumn="0" w:lastRow="0" w:noHBand="0" w:noVBand="1" w:val="04A0"/>
        <w:tblInd w:w="120" w:type="dxa"/>
      </w:tblPr>
      <w:tblGrid>
        <w:gridCol w:w="1800"/>
        <w:gridCol w:w="1300"/>
        <w:gridCol w:w="1700"/>
        <w:gridCol w:w="1500"/>
        <w:gridCol w:w="1600"/>
        <w:gridCol w:w="1460"/>
      </w:tblGrid>
      <w:tr>
        <w:tc>
          <w:tcPr>
            <w:tcW w:type="dxa" w:w="1800"/>
            <w:tcMar>
              <w:top w:w="80" w:type="dxa"/>
              <w:start w:w="120" w:type="dxa"/>
              <w:bottom w:w="80" w:type="dxa"/>
              <w:end w:w="120" w:type="dxa"/>
            </w:tcMar>
            <w:shd w:fill="11140F"/>
          </w:tcPr>
          <w:p>
            <w:pPr>
              <w:jc w:val="center"/>
            </w:pPr>
            <w:r>
              <w:rPr>
                <w:rFonts w:ascii="Calibri" w:hAnsi="Calibri"/>
                <w:b/>
                <w:i w:val="0"/>
                <w:color w:val="FFFFFF"/>
                <w:sz w:val="15"/>
              </w:rPr>
              <w:t>Середовище</w:t>
            </w:r>
          </w:p>
        </w:tc>
        <w:tc>
          <w:tcPr>
            <w:tcW w:type="dxa" w:w="1300"/>
            <w:tcMar>
              <w:top w:w="80" w:type="dxa"/>
              <w:start w:w="120" w:type="dxa"/>
              <w:bottom w:w="80" w:type="dxa"/>
              <w:end w:w="120" w:type="dxa"/>
            </w:tcMar>
            <w:shd w:fill="11140F"/>
          </w:tcPr>
          <w:p>
            <w:pPr>
              <w:jc w:val="center"/>
            </w:pPr>
            <w:r>
              <w:rPr>
                <w:rFonts w:ascii="Calibri" w:hAnsi="Calibri"/>
                <w:b/>
                <w:i w:val="0"/>
                <w:color w:val="FFFFFF"/>
                <w:sz w:val="15"/>
              </w:rPr>
              <w:t>Стрес</w:t>
            </w:r>
          </w:p>
        </w:tc>
        <w:tc>
          <w:tcPr>
            <w:tcW w:type="dxa" w:w="1700"/>
            <w:tcMar>
              <w:top w:w="80" w:type="dxa"/>
              <w:start w:w="120" w:type="dxa"/>
              <w:bottom w:w="80" w:type="dxa"/>
              <w:end w:w="120" w:type="dxa"/>
            </w:tcMar>
            <w:shd w:fill="11140F"/>
          </w:tcPr>
          <w:p>
            <w:pPr>
              <w:jc w:val="center"/>
            </w:pPr>
            <w:r>
              <w:rPr>
                <w:rFonts w:ascii="Calibri" w:hAnsi="Calibri"/>
                <w:b/>
                <w:i w:val="0"/>
                <w:color w:val="FFFFFF"/>
                <w:sz w:val="15"/>
              </w:rPr>
              <w:t>Невдовол.</w:t>
            </w:r>
          </w:p>
        </w:tc>
        <w:tc>
          <w:tcPr>
            <w:tcW w:type="dxa" w:w="1500"/>
            <w:tcMar>
              <w:top w:w="80" w:type="dxa"/>
              <w:start w:w="120" w:type="dxa"/>
              <w:bottom w:w="80" w:type="dxa"/>
              <w:end w:w="120" w:type="dxa"/>
            </w:tcMar>
            <w:shd w:fill="11140F"/>
          </w:tcPr>
          <w:p>
            <w:pPr>
              <w:jc w:val="center"/>
            </w:pPr>
            <w:r>
              <w:rPr>
                <w:rFonts w:ascii="Calibri" w:hAnsi="Calibri"/>
                <w:b/>
                <w:i w:val="0"/>
                <w:color w:val="FFFFFF"/>
                <w:sz w:val="15"/>
              </w:rPr>
              <w:t>Занепок.</w:t>
            </w:r>
          </w:p>
        </w:tc>
        <w:tc>
          <w:tcPr>
            <w:tcW w:type="dxa" w:w="1600"/>
            <w:tcMar>
              <w:top w:w="80" w:type="dxa"/>
              <w:start w:w="120" w:type="dxa"/>
              <w:bottom w:w="80" w:type="dxa"/>
              <w:end w:w="120" w:type="dxa"/>
            </w:tcMar>
            <w:shd w:fill="11140F"/>
          </w:tcPr>
          <w:p>
            <w:pPr>
              <w:jc w:val="center"/>
            </w:pPr>
            <w:r>
              <w:rPr>
                <w:rFonts w:ascii="Calibri" w:hAnsi="Calibri"/>
                <w:b/>
                <w:i w:val="0"/>
                <w:color w:val="FFFFFF"/>
                <w:sz w:val="15"/>
              </w:rPr>
              <w:t>Задовол.</w:t>
            </w:r>
          </w:p>
        </w:tc>
        <w:tc>
          <w:tcPr>
            <w:tcW w:type="dxa" w:w="1460"/>
            <w:tcMar>
              <w:top w:w="80" w:type="dxa"/>
              <w:start w:w="120" w:type="dxa"/>
              <w:bottom w:w="80" w:type="dxa"/>
              <w:end w:w="120" w:type="dxa"/>
            </w:tcMar>
            <w:shd w:fill="11140F"/>
          </w:tcPr>
          <w:p>
            <w:pPr>
              <w:jc w:val="center"/>
            </w:pPr>
            <w:r>
              <w:rPr>
                <w:rFonts w:ascii="Calibri" w:hAnsi="Calibri"/>
                <w:b/>
                <w:i w:val="0"/>
                <w:color w:val="FFFFFF"/>
                <w:sz w:val="15"/>
              </w:rPr>
              <w:t>Баланс</w:t>
            </w:r>
          </w:p>
        </w:tc>
      </w:tr>
      <w:tr>
        <w:tc>
          <w:tcPr>
            <w:tcW w:type="dxa" w:w="1800"/>
            <w:tcMar>
              <w:top w:w="80" w:type="dxa"/>
              <w:start w:w="120" w:type="dxa"/>
              <w:bottom w:w="80" w:type="dxa"/>
              <w:end w:w="120" w:type="dxa"/>
            </w:tcMar>
            <w:shd w:fill="FAF7F2"/>
          </w:tcPr>
          <w:p>
            <w:pPr>
              <w:jc w:val="left"/>
            </w:pPr>
            <w:r>
              <w:rPr>
                <w:rFonts w:ascii="Calibri" w:hAnsi="Calibri"/>
                <w:b/>
                <w:i w:val="0"/>
                <w:color w:val="11140F"/>
                <w:sz w:val="18"/>
              </w:rPr>
              <w:t>Україна</w:t>
            </w:r>
          </w:p>
        </w:tc>
        <w:tc>
          <w:tcPr>
            <w:tcW w:type="dxa" w:w="1300"/>
            <w:tcMar>
              <w:top w:w="80" w:type="dxa"/>
              <w:start w:w="120" w:type="dxa"/>
              <w:bottom w:w="80" w:type="dxa"/>
              <w:end w:w="120" w:type="dxa"/>
            </w:tcMar>
            <w:shd w:fill="FAF7F2"/>
          </w:tcPr>
          <w:p>
            <w:pPr>
              <w:jc w:val="center"/>
            </w:pPr>
            <w:r>
              <w:rPr>
                <w:rFonts w:ascii="Calibri" w:hAnsi="Calibri"/>
                <w:b/>
                <w:i w:val="0"/>
                <w:color w:val="B5121B"/>
                <w:sz w:val="18"/>
              </w:rPr>
              <w:t>86%</w:t>
            </w:r>
          </w:p>
        </w:tc>
        <w:tc>
          <w:tcPr>
            <w:tcW w:type="dxa" w:w="1700"/>
            <w:tcMar>
              <w:top w:w="80" w:type="dxa"/>
              <w:start w:w="120" w:type="dxa"/>
              <w:bottom w:w="80" w:type="dxa"/>
              <w:end w:w="120" w:type="dxa"/>
            </w:tcMar>
            <w:shd w:fill="FAF7F2"/>
          </w:tcPr>
          <w:p>
            <w:pPr>
              <w:jc w:val="center"/>
            </w:pPr>
            <w:r>
              <w:rPr>
                <w:rFonts w:ascii="Calibri" w:hAnsi="Calibri"/>
                <w:b/>
                <w:i w:val="0"/>
                <w:color w:val="B5121B"/>
                <w:sz w:val="18"/>
              </w:rPr>
              <w:t>69%</w:t>
            </w:r>
          </w:p>
        </w:tc>
        <w:tc>
          <w:tcPr>
            <w:tcW w:type="dxa" w:w="1500"/>
            <w:tcMar>
              <w:top w:w="80" w:type="dxa"/>
              <w:start w:w="120" w:type="dxa"/>
              <w:bottom w:w="80" w:type="dxa"/>
              <w:end w:w="120" w:type="dxa"/>
            </w:tcMar>
            <w:shd w:fill="FAF7F2"/>
          </w:tcPr>
          <w:p>
            <w:pPr>
              <w:jc w:val="center"/>
            </w:pPr>
            <w:r>
              <w:rPr>
                <w:rFonts w:ascii="Calibri" w:hAnsi="Calibri"/>
                <w:b/>
                <w:i w:val="0"/>
                <w:color w:val="B5121B"/>
                <w:sz w:val="18"/>
              </w:rPr>
              <w:t>90%</w:t>
            </w:r>
          </w:p>
        </w:tc>
        <w:tc>
          <w:tcPr>
            <w:tcW w:type="dxa" w:w="1600"/>
            <w:tcMar>
              <w:top w:w="80" w:type="dxa"/>
              <w:start w:w="120" w:type="dxa"/>
              <w:bottom w:w="80" w:type="dxa"/>
              <w:end w:w="120" w:type="dxa"/>
            </w:tcMar>
            <w:shd w:fill="FAF7F2"/>
          </w:tcPr>
          <w:p>
            <w:pPr>
              <w:jc w:val="center"/>
            </w:pPr>
            <w:r>
              <w:rPr>
                <w:rFonts w:ascii="Calibri" w:hAnsi="Calibri"/>
                <w:b/>
                <w:i w:val="0"/>
                <w:color w:val="11140F"/>
                <w:sz w:val="18"/>
              </w:rPr>
              <w:t>21%</w:t>
            </w:r>
          </w:p>
        </w:tc>
        <w:tc>
          <w:tcPr>
            <w:tcW w:type="dxa" w:w="1460"/>
            <w:tcMar>
              <w:top w:w="80" w:type="dxa"/>
              <w:start w:w="120" w:type="dxa"/>
              <w:bottom w:w="80" w:type="dxa"/>
              <w:end w:w="120" w:type="dxa"/>
            </w:tcMar>
            <w:shd w:fill="FAF7F2"/>
          </w:tcPr>
          <w:p>
            <w:pPr>
              <w:jc w:val="center"/>
            </w:pPr>
            <w:r>
              <w:rPr>
                <w:rFonts w:ascii="Calibri" w:hAnsi="Calibri"/>
                <w:b/>
                <w:i w:val="0"/>
                <w:color w:val="B5121B"/>
                <w:sz w:val="18"/>
              </w:rPr>
              <w:t>−57</w:t>
            </w:r>
          </w:p>
        </w:tc>
      </w:tr>
      <w:tr>
        <w:tc>
          <w:tcPr>
            <w:tcW w:type="dxa" w:w="1800"/>
            <w:tcMar>
              <w:top w:w="80" w:type="dxa"/>
              <w:start w:w="120" w:type="dxa"/>
              <w:bottom w:w="80" w:type="dxa"/>
              <w:end w:w="120" w:type="dxa"/>
            </w:tcMar>
            <w:shd w:fill="F0E9E0"/>
          </w:tcPr>
          <w:p>
            <w:pPr>
              <w:jc w:val="left"/>
            </w:pPr>
            <w:r>
              <w:rPr>
                <w:rFonts w:ascii="Calibri" w:hAnsi="Calibri"/>
                <w:b/>
                <w:i w:val="0"/>
                <w:color w:val="11140F"/>
                <w:sz w:val="18"/>
              </w:rPr>
              <w:t>Росія</w:t>
            </w:r>
          </w:p>
        </w:tc>
        <w:tc>
          <w:tcPr>
            <w:tcW w:type="dxa" w:w="1300"/>
            <w:tcMar>
              <w:top w:w="80" w:type="dxa"/>
              <w:start w:w="120" w:type="dxa"/>
              <w:bottom w:w="80" w:type="dxa"/>
              <w:end w:w="120" w:type="dxa"/>
            </w:tcMar>
            <w:shd w:fill="F0E9E0"/>
          </w:tcPr>
          <w:p>
            <w:pPr>
              <w:jc w:val="center"/>
            </w:pPr>
            <w:r>
              <w:rPr>
                <w:rFonts w:ascii="Calibri" w:hAnsi="Calibri"/>
                <w:b/>
                <w:i w:val="0"/>
                <w:color w:val="B5121B"/>
                <w:sz w:val="18"/>
              </w:rPr>
              <w:t>79%</w:t>
            </w:r>
          </w:p>
        </w:tc>
        <w:tc>
          <w:tcPr>
            <w:tcW w:type="dxa" w:w="1700"/>
            <w:tcMar>
              <w:top w:w="80" w:type="dxa"/>
              <w:start w:w="120" w:type="dxa"/>
              <w:bottom w:w="80" w:type="dxa"/>
              <w:end w:w="120" w:type="dxa"/>
            </w:tcMar>
            <w:shd w:fill="F0E9E0"/>
          </w:tcPr>
          <w:p>
            <w:pPr>
              <w:jc w:val="center"/>
            </w:pPr>
            <w:r>
              <w:rPr>
                <w:rFonts w:ascii="Calibri" w:hAnsi="Calibri"/>
                <w:b/>
                <w:i w:val="0"/>
                <w:color w:val="B5121B"/>
                <w:sz w:val="18"/>
              </w:rPr>
              <w:t>75%</w:t>
            </w:r>
          </w:p>
        </w:tc>
        <w:tc>
          <w:tcPr>
            <w:tcW w:type="dxa" w:w="1500"/>
            <w:tcMar>
              <w:top w:w="80" w:type="dxa"/>
              <w:start w:w="120" w:type="dxa"/>
              <w:bottom w:w="80" w:type="dxa"/>
              <w:end w:w="120" w:type="dxa"/>
            </w:tcMar>
            <w:shd w:fill="F0E9E0"/>
          </w:tcPr>
          <w:p>
            <w:pPr>
              <w:jc w:val="center"/>
            </w:pPr>
            <w:r>
              <w:rPr>
                <w:rFonts w:ascii="Calibri" w:hAnsi="Calibri"/>
                <w:b/>
                <w:i w:val="0"/>
                <w:color w:val="B5121B"/>
                <w:sz w:val="18"/>
              </w:rPr>
              <w:t>82%</w:t>
            </w:r>
          </w:p>
        </w:tc>
        <w:tc>
          <w:tcPr>
            <w:tcW w:type="dxa" w:w="1600"/>
            <w:tcMar>
              <w:top w:w="80" w:type="dxa"/>
              <w:start w:w="120" w:type="dxa"/>
              <w:bottom w:w="80" w:type="dxa"/>
              <w:end w:w="120" w:type="dxa"/>
            </w:tcMar>
            <w:shd w:fill="F0E9E0"/>
          </w:tcPr>
          <w:p>
            <w:pPr>
              <w:jc w:val="center"/>
            </w:pPr>
            <w:r>
              <w:rPr>
                <w:rFonts w:ascii="Calibri" w:hAnsi="Calibri"/>
                <w:b/>
                <w:i w:val="0"/>
                <w:color w:val="11140F"/>
                <w:sz w:val="18"/>
              </w:rPr>
              <w:t>16%</w:t>
            </w:r>
          </w:p>
        </w:tc>
        <w:tc>
          <w:tcPr>
            <w:tcW w:type="dxa" w:w="1460"/>
            <w:tcMar>
              <w:top w:w="80" w:type="dxa"/>
              <w:start w:w="120" w:type="dxa"/>
              <w:bottom w:w="80" w:type="dxa"/>
              <w:end w:w="120" w:type="dxa"/>
            </w:tcMar>
            <w:shd w:fill="F0E9E0"/>
          </w:tcPr>
          <w:p>
            <w:pPr>
              <w:jc w:val="center"/>
            </w:pPr>
            <w:r>
              <w:rPr>
                <w:rFonts w:ascii="Calibri" w:hAnsi="Calibri"/>
                <w:b/>
                <w:i w:val="0"/>
                <w:color w:val="B5121B"/>
                <w:sz w:val="18"/>
              </w:rPr>
              <w:t>−65</w:t>
            </w:r>
          </w:p>
        </w:tc>
      </w:tr>
    </w:tbl>
    <w:tbl>
      <w:tblPr>
        <w:tblW w:type="dxa" w:w="9360"/>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3EDE5"/>
          </w:tcPr>
          <w:p>
            <w:pPr>
              <w:spacing w:before="140" w:after="140"/>
            </w:pPr>
            <w:r>
              <w:rPr>
                <w:rFonts w:ascii="Calibri" w:hAnsi="Calibri"/>
                <w:b/>
                <w:i w:val="0"/>
                <w:color w:val="B5121B"/>
                <w:sz w:val="16"/>
              </w:rPr>
              <w:t xml:space="preserve">МЕТОДОЛОГІЧНЕ ЗАСТЕРЕЖЕННЯ. </w:t>
            </w:r>
            <w:r>
              <w:rPr>
                <w:rFonts w:ascii="Calibri" w:hAnsi="Calibri"/>
                <w:b w:val="0"/>
                <w:i w:val="0"/>
                <w:color w:val="11140F"/>
                <w:sz w:val="16"/>
              </w:rPr>
              <w:t>KIS, 12 індексів і відсотки настроїв є модельними редакційними індикаторами відкритого медіасередовища. Вони не є результатами репрезентативного соціологічного опитування й не вимірюють думку всього населення.</w:t>
            </w:r>
          </w:p>
        </w:tc>
      </w:tr>
    </w:tbl>
    <w:p>
      <w:pPr>
        <w:keepNext/>
        <w:spacing w:before="100" w:after="80"/>
      </w:pPr>
      <w:r>
        <w:rPr>
          <w:rFonts w:ascii="Calibri" w:hAnsi="Calibri"/>
          <w:b/>
          <w:i w:val="0"/>
          <w:color w:val="B5121B"/>
          <w:sz w:val="17"/>
        </w:rPr>
        <w:t>01   ГОЛОВНІ НОВИНИ УКРАЇНИ</w:t>
      </w:r>
      <w:r>
        <w:rPr>
          <w:rFonts w:ascii="Calibri" w:hAnsi="Calibri"/>
          <w:b/>
          <w:i w:val="0"/>
          <w:color w:val="5E741F"/>
          <w:sz w:val="15"/>
        </w:rPr>
        <w:t xml:space="preserve">    ПЕРЕВІРЕНО</w:t>
      </w:r>
    </w:p>
    <w:p>
      <w:pPr>
        <w:pStyle w:val="Heading2"/>
        <w:spacing w:before="0" w:after="140"/>
      </w:pPr>
      <w:r>
        <w:rPr>
          <w:rFonts w:ascii="Georgia" w:hAnsi="Georgia"/>
          <w:b/>
          <w:i w:val="0"/>
          <w:color w:val="11140F"/>
          <w:sz w:val="31"/>
        </w:rPr>
        <w:t>Трамп прийняв Зеленського у Білому домі; у фокусі ППО й дронова угода</w:t>
      </w:r>
    </w:p>
    <w:p>
      <w:pPr>
        <w:spacing w:after="120" w:line="288" w:lineRule="auto"/>
      </w:pPr>
      <w:r>
        <w:rPr>
          <w:rFonts w:ascii="Calibri" w:hAnsi="Calibri"/>
          <w:b w:val="0"/>
          <w:i w:val="0"/>
          <w:color w:val="11140F"/>
          <w:sz w:val="20"/>
        </w:rPr>
        <w:t>Президент США Дональд Трамп прийняв Президента України Володимира Зеленського. Reuters повідомив, що українська сторона винесла на переговори посилення ППО, перехоплювачі Patriot, можливість ліцензованого виробництва та завершення дронової угоди. Станом на 18:00 повних підсумків не оприлюднили.</w:t>
      </w:r>
    </w:p>
    <w:p>
      <w:pPr>
        <w:spacing w:before="0" w:after="200"/>
        <w:pBdr>
          <w:bottom w:val="single" w:sz="5" w:space="1" w:color="DDE2E7"/>
        </w:pBdr>
      </w:pPr>
      <w:r>
        <w:rPr>
          <w:rFonts w:ascii="Calibri" w:hAnsi="Calibri"/>
          <w:b/>
          <w:i w:val="0"/>
          <w:color w:val="687163"/>
          <w:sz w:val="19"/>
        </w:rPr>
        <w:t xml:space="preserve">Джерело: </w:t>
      </w:r>
      <w:hyperlink r:id="rId13">
        <w:r>
          <w:rPr>
            <w:color w:val="B5121B"/>
            <w:u w:val="single"/>
            <w:rFonts w:ascii="Calibri" w:hAnsi="Calibri"/>
            <w:sz w:val="19"/>
          </w:rPr>
          <w:t>Reuters</w:t>
        </w:r>
      </w:hyperlink>
    </w:p>
    <w:p>
      <w:pPr>
        <w:keepNext/>
        <w:spacing w:before="180" w:after="80"/>
      </w:pPr>
      <w:r>
        <w:rPr>
          <w:rFonts w:ascii="Calibri" w:hAnsi="Calibri"/>
          <w:b/>
          <w:i w:val="0"/>
          <w:color w:val="B5121B"/>
          <w:sz w:val="17"/>
        </w:rPr>
        <w:t>02   ВОЄННА ОБСТАНОВКА</w:t>
      </w:r>
      <w:r>
        <w:rPr>
          <w:rFonts w:ascii="Calibri" w:hAnsi="Calibri"/>
          <w:b/>
          <w:i w:val="0"/>
          <w:color w:val="5E741F"/>
          <w:sz w:val="15"/>
        </w:rPr>
        <w:t xml:space="preserve">    ПЕРЕВІРЕНО</w:t>
      </w:r>
    </w:p>
    <w:p>
      <w:pPr>
        <w:pStyle w:val="Heading2"/>
        <w:spacing w:before="0" w:after="140"/>
      </w:pPr>
      <w:r>
        <w:rPr>
          <w:rFonts w:ascii="Georgia" w:hAnsi="Georgia"/>
          <w:b/>
          <w:i w:val="0"/>
          <w:color w:val="11140F"/>
          <w:sz w:val="31"/>
        </w:rPr>
        <w:t>Станом на 16:00 Генштаб зафіксував 81 атаку від початку доби</w:t>
      </w:r>
    </w:p>
    <w:p>
      <w:pPr>
        <w:spacing w:after="120" w:line="288" w:lineRule="auto"/>
      </w:pPr>
      <w:r>
        <w:rPr>
          <w:rFonts w:ascii="Calibri" w:hAnsi="Calibri"/>
          <w:b w:val="0"/>
          <w:i w:val="0"/>
          <w:color w:val="11140F"/>
          <w:sz w:val="20"/>
        </w:rPr>
        <w:t>За оперативною інформацією Генерального штабу, від початку 28 липня російські війська 81 раз атакували позиції Сил оборони. Ранкове зведення за попередню добу містило 227 бойових зіткнень, 83 авіаційні удари, 269 керованих авіабомб і 3 240 обстрілів.</w:t>
      </w:r>
    </w:p>
    <w:p>
      <w:pPr>
        <w:spacing w:before="0" w:after="200"/>
        <w:pBdr>
          <w:bottom w:val="single" w:sz="5" w:space="1" w:color="DDE2E7"/>
        </w:pBdr>
      </w:pPr>
      <w:r>
        <w:rPr>
          <w:rFonts w:ascii="Calibri" w:hAnsi="Calibri"/>
          <w:b/>
          <w:i w:val="0"/>
          <w:color w:val="687163"/>
          <w:sz w:val="19"/>
        </w:rPr>
        <w:t xml:space="preserve">Джерело: </w:t>
      </w:r>
      <w:hyperlink r:id="rId14">
        <w:r>
          <w:rPr>
            <w:color w:val="B5121B"/>
            <w:u w:val="single"/>
            <w:rFonts w:ascii="Calibri" w:hAnsi="Calibri"/>
            <w:sz w:val="19"/>
          </w:rPr>
          <w:t>Генеральний штаб ЗСУ</w:t>
        </w:r>
      </w:hyperlink>
    </w:p>
    <w:p>
      <w:pPr>
        <w:keepNext/>
        <w:spacing w:before="180" w:after="80"/>
      </w:pPr>
      <w:r>
        <w:rPr>
          <w:rFonts w:ascii="Calibri" w:hAnsi="Calibri"/>
          <w:b/>
          <w:i w:val="0"/>
          <w:color w:val="B5121B"/>
          <w:sz w:val="17"/>
        </w:rPr>
        <w:t>03   ЗВЕДЕННЯ ГЕНЕРАЛЬНОГО ШТАБУ</w:t>
      </w:r>
      <w:r>
        <w:rPr>
          <w:rFonts w:ascii="Calibri" w:hAnsi="Calibri"/>
          <w:b/>
          <w:i w:val="0"/>
          <w:color w:val="5E741F"/>
          <w:sz w:val="15"/>
        </w:rPr>
        <w:t xml:space="preserve">    ПЕРЕВІРЕНО</w:t>
      </w:r>
    </w:p>
    <w:p>
      <w:pPr>
        <w:pStyle w:val="Heading2"/>
        <w:spacing w:before="0" w:after="140"/>
      </w:pPr>
      <w:r>
        <w:rPr>
          <w:rFonts w:ascii="Georgia" w:hAnsi="Georgia"/>
          <w:b/>
          <w:i w:val="0"/>
          <w:color w:val="11140F"/>
          <w:sz w:val="31"/>
        </w:rPr>
        <w:t>Покровський напрямок залишався одним із найактивніших</w:t>
      </w:r>
    </w:p>
    <w:p>
      <w:pPr>
        <w:spacing w:after="120" w:line="288" w:lineRule="auto"/>
      </w:pPr>
      <w:r>
        <w:rPr>
          <w:rFonts w:ascii="Calibri" w:hAnsi="Calibri"/>
          <w:b w:val="0"/>
          <w:i w:val="0"/>
          <w:color w:val="11140F"/>
          <w:sz w:val="20"/>
        </w:rPr>
        <w:t>Станом на 16:00 Генштаб повідомляв про 18 спроб російських військ просунутися на Покровському напрямку. Загалом від початку доби зафіксовано 81 бойове зіткнення; це проміжні оперативні дані.</w:t>
      </w:r>
    </w:p>
    <w:p>
      <w:pPr>
        <w:spacing w:before="0" w:after="200"/>
        <w:pBdr>
          <w:bottom w:val="single" w:sz="5" w:space="1" w:color="DDE2E7"/>
        </w:pBdr>
      </w:pPr>
      <w:r>
        <w:rPr>
          <w:rFonts w:ascii="Calibri" w:hAnsi="Calibri"/>
          <w:b/>
          <w:i w:val="0"/>
          <w:color w:val="687163"/>
          <w:sz w:val="19"/>
        </w:rPr>
        <w:t xml:space="preserve">Джерело: </w:t>
      </w:r>
      <w:hyperlink r:id="rId14">
        <w:r>
          <w:rPr>
            <w:color w:val="B5121B"/>
            <w:u w:val="single"/>
            <w:rFonts w:ascii="Calibri" w:hAnsi="Calibri"/>
            <w:sz w:val="19"/>
          </w:rPr>
          <w:t>Генеральний штаб ЗСУ</w:t>
        </w:r>
      </w:hyperlink>
    </w:p>
    <w:p>
      <w:pPr>
        <w:keepNext/>
        <w:spacing w:before="180" w:after="80"/>
      </w:pPr>
      <w:r>
        <w:rPr>
          <w:rFonts w:ascii="Calibri" w:hAnsi="Calibri"/>
          <w:b/>
          <w:i w:val="0"/>
          <w:color w:val="B5121B"/>
          <w:sz w:val="17"/>
        </w:rPr>
        <w:t>04   ВТРАТИ ПРОТИВНИКА</w:t>
      </w:r>
      <w:r>
        <w:rPr>
          <w:rFonts w:ascii="Calibri" w:hAnsi="Calibri"/>
          <w:b/>
          <w:i w:val="0"/>
          <w:color w:val="5E741F"/>
          <w:sz w:val="15"/>
        </w:rPr>
        <w:t xml:space="preserve">    ПЕРЕВІРЕНО</w:t>
      </w:r>
    </w:p>
    <w:p>
      <w:pPr>
        <w:pStyle w:val="Heading2"/>
        <w:spacing w:before="0" w:after="140"/>
      </w:pPr>
      <w:r>
        <w:rPr>
          <w:rFonts w:ascii="Georgia" w:hAnsi="Georgia"/>
          <w:b/>
          <w:i w:val="0"/>
          <w:color w:val="11140F"/>
          <w:sz w:val="31"/>
        </w:rPr>
        <w:t>Орієнтовні втрати РФ: 1 560 військових, 71 артсистема і 1 755 БпЛА</w:t>
      </w:r>
    </w:p>
    <w:p>
      <w:pPr>
        <w:spacing w:after="120" w:line="288" w:lineRule="auto"/>
      </w:pPr>
      <w:r>
        <w:rPr>
          <w:rFonts w:ascii="Calibri" w:hAnsi="Calibri"/>
          <w:b w:val="0"/>
          <w:i w:val="0"/>
          <w:color w:val="11140F"/>
          <w:sz w:val="20"/>
        </w:rPr>
        <w:t>У ранковій оцінці Генштабу також зазначені один танк, шість бойових броньованих машин, одна РСЗВ, 16 наземних робототехнічних комплексів, 548 автомобілів і чотири одиниці спеціальної техніки. Дані є оперативними та можуть уточнюватися.</w:t>
      </w:r>
    </w:p>
    <w:p>
      <w:pPr>
        <w:spacing w:before="0" w:after="200"/>
        <w:pBdr>
          <w:bottom w:val="single" w:sz="5" w:space="1" w:color="DDE2E7"/>
        </w:pBdr>
      </w:pPr>
      <w:r>
        <w:rPr>
          <w:rFonts w:ascii="Calibri" w:hAnsi="Calibri"/>
          <w:b/>
          <w:i w:val="0"/>
          <w:color w:val="687163"/>
          <w:sz w:val="19"/>
        </w:rPr>
        <w:t xml:space="preserve">Джерело: </w:t>
      </w:r>
      <w:hyperlink r:id="rId15">
        <w:r>
          <w:rPr>
            <w:color w:val="B5121B"/>
            <w:u w:val="single"/>
            <w:rFonts w:ascii="Calibri" w:hAnsi="Calibri"/>
            <w:sz w:val="19"/>
          </w:rPr>
          <w:t>Генеральний штаб ЗСУ</w:t>
        </w:r>
      </w:hyperlink>
    </w:p>
    <w:p>
      <w:pPr>
        <w:keepNext/>
        <w:spacing w:before="180" w:after="80"/>
      </w:pPr>
      <w:r>
        <w:rPr>
          <w:rFonts w:ascii="Calibri" w:hAnsi="Calibri"/>
          <w:b/>
          <w:i w:val="0"/>
          <w:color w:val="B5121B"/>
          <w:sz w:val="17"/>
        </w:rPr>
        <w:t>05   МІЖНАРОДНА ПІДТРИМКА</w:t>
      </w:r>
      <w:r>
        <w:rPr>
          <w:rFonts w:ascii="Calibri" w:hAnsi="Calibri"/>
          <w:b/>
          <w:i w:val="0"/>
          <w:color w:val="5E741F"/>
          <w:sz w:val="15"/>
        </w:rPr>
        <w:t xml:space="preserve">    ПЕРЕВІРЕНО</w:t>
      </w:r>
    </w:p>
    <w:p>
      <w:pPr>
        <w:pStyle w:val="Heading2"/>
        <w:spacing w:before="0" w:after="140"/>
      </w:pPr>
      <w:r>
        <w:rPr>
          <w:rFonts w:ascii="Georgia" w:hAnsi="Georgia"/>
          <w:b/>
          <w:i w:val="0"/>
          <w:color w:val="11140F"/>
          <w:sz w:val="31"/>
        </w:rPr>
        <w:t>Велика Британія в Раді Безпеки ООН підтвердила незмінність підтримки України</w:t>
      </w:r>
    </w:p>
    <w:p>
      <w:pPr>
        <w:spacing w:after="120" w:line="288" w:lineRule="auto"/>
      </w:pPr>
      <w:r>
        <w:rPr>
          <w:rFonts w:ascii="Calibri" w:hAnsi="Calibri"/>
          <w:b w:val="0"/>
          <w:i w:val="0"/>
          <w:color w:val="11140F"/>
          <w:sz w:val="20"/>
        </w:rPr>
        <w:t>Представниця Великої Британії заявила, що Росія прямує до понад 300 ракетних пусків по Україні у липні, приблизно половина з яких була спрямована на Київ. Лондон також привітав створення коаліції протибалістичної оборони.</w:t>
      </w:r>
    </w:p>
    <w:p>
      <w:pPr>
        <w:spacing w:before="0" w:after="200"/>
        <w:pBdr>
          <w:bottom w:val="single" w:sz="5" w:space="1" w:color="DDE2E7"/>
        </w:pBdr>
      </w:pPr>
      <w:r>
        <w:rPr>
          <w:rFonts w:ascii="Calibri" w:hAnsi="Calibri"/>
          <w:b/>
          <w:i w:val="0"/>
          <w:color w:val="687163"/>
          <w:sz w:val="19"/>
        </w:rPr>
        <w:t xml:space="preserve">Джерело: </w:t>
      </w:r>
      <w:hyperlink r:id="rId16">
        <w:r>
          <w:rPr>
            <w:color w:val="B5121B"/>
            <w:u w:val="single"/>
            <w:rFonts w:ascii="Calibri" w:hAnsi="Calibri"/>
            <w:sz w:val="19"/>
          </w:rPr>
          <w:t>Уряд Великої Британії</w:t>
        </w:r>
      </w:hyperlink>
    </w:p>
    <w:p>
      <w:pPr>
        <w:keepNext/>
        <w:spacing w:before="180" w:after="80"/>
      </w:pPr>
      <w:r>
        <w:rPr>
          <w:rFonts w:ascii="Calibri" w:hAnsi="Calibri"/>
          <w:b/>
          <w:i w:val="0"/>
          <w:color w:val="B5121B"/>
          <w:sz w:val="17"/>
        </w:rPr>
        <w:t>06   ЄС, НАТО, США</w:t>
      </w:r>
      <w:r>
        <w:rPr>
          <w:rFonts w:ascii="Calibri" w:hAnsi="Calibri"/>
          <w:b/>
          <w:i w:val="0"/>
          <w:color w:val="5E741F"/>
          <w:sz w:val="15"/>
        </w:rPr>
        <w:t xml:space="preserve">    ПЕРЕВІРЕНО</w:t>
      </w:r>
    </w:p>
    <w:p>
      <w:pPr>
        <w:pStyle w:val="Heading2"/>
        <w:spacing w:before="0" w:after="140"/>
      </w:pPr>
      <w:r>
        <w:rPr>
          <w:rFonts w:ascii="Georgia" w:hAnsi="Georgia"/>
          <w:b/>
          <w:i w:val="0"/>
          <w:color w:val="11140F"/>
          <w:sz w:val="31"/>
        </w:rPr>
        <w:t>У Вашингтоні очікують переговорів щодо Patriot, дронової угоди та санкцій</w:t>
      </w:r>
    </w:p>
    <w:p>
      <w:pPr>
        <w:spacing w:after="120" w:line="288" w:lineRule="auto"/>
      </w:pPr>
      <w:r>
        <w:rPr>
          <w:rFonts w:ascii="Calibri" w:hAnsi="Calibri"/>
          <w:b w:val="0"/>
          <w:i w:val="0"/>
          <w:color w:val="11140F"/>
          <w:sz w:val="20"/>
        </w:rPr>
        <w:t>Reuters повідомив, що українська сторона планує порушити питання посилення ППО, закупівлі ракет-перехоплювачів Patriot і ліцензії на їх виробництво. Сенат готується розглядати законопроєкт про обмеження російських енергетичних доходів.</w:t>
      </w:r>
    </w:p>
    <w:p>
      <w:pPr>
        <w:spacing w:before="0" w:after="200"/>
        <w:pBdr>
          <w:bottom w:val="single" w:sz="5" w:space="1" w:color="DDE2E7"/>
        </w:pBdr>
      </w:pPr>
      <w:r>
        <w:rPr>
          <w:rFonts w:ascii="Calibri" w:hAnsi="Calibri"/>
          <w:b/>
          <w:i w:val="0"/>
          <w:color w:val="687163"/>
          <w:sz w:val="19"/>
        </w:rPr>
        <w:t xml:space="preserve">Джерело: </w:t>
      </w:r>
      <w:hyperlink r:id="rId17">
        <w:r>
          <w:rPr>
            <w:color w:val="B5121B"/>
            <w:u w:val="single"/>
            <w:rFonts w:ascii="Calibri" w:hAnsi="Calibri"/>
            <w:sz w:val="19"/>
          </w:rPr>
          <w:t>Reuters</w:t>
        </w:r>
      </w:hyperlink>
    </w:p>
    <w:p>
      <w:pPr>
        <w:keepNext/>
        <w:spacing w:before="180" w:after="80"/>
      </w:pPr>
      <w:r>
        <w:rPr>
          <w:rFonts w:ascii="Calibri" w:hAnsi="Calibri"/>
          <w:b/>
          <w:i w:val="0"/>
          <w:color w:val="B5121B"/>
          <w:sz w:val="17"/>
        </w:rPr>
        <w:t>07   ОПК ТА ВІЙСЬКОВІ ТЕХНОЛОГІЇ</w:t>
      </w:r>
      <w:r>
        <w:rPr>
          <w:rFonts w:ascii="Calibri" w:hAnsi="Calibri"/>
          <w:b/>
          <w:i w:val="0"/>
          <w:color w:val="5E741F"/>
          <w:sz w:val="15"/>
        </w:rPr>
        <w:t xml:space="preserve">    ПЕРЕВІРЕНО</w:t>
      </w:r>
    </w:p>
    <w:p>
      <w:pPr>
        <w:pStyle w:val="Heading2"/>
        <w:spacing w:before="0" w:after="140"/>
      </w:pPr>
      <w:r>
        <w:rPr>
          <w:rFonts w:ascii="Georgia" w:hAnsi="Georgia"/>
          <w:b/>
          <w:i w:val="0"/>
          <w:color w:val="11140F"/>
          <w:sz w:val="31"/>
        </w:rPr>
        <w:t>Україна планує прототип європейської системи ПРО Freyja у першій половині 2027 року</w:t>
      </w:r>
    </w:p>
    <w:p>
      <w:pPr>
        <w:spacing w:after="120" w:line="288" w:lineRule="auto"/>
      </w:pPr>
      <w:r>
        <w:rPr>
          <w:rFonts w:ascii="Calibri" w:hAnsi="Calibri"/>
          <w:b w:val="0"/>
          <w:i w:val="0"/>
          <w:color w:val="11140F"/>
          <w:sz w:val="20"/>
        </w:rPr>
        <w:t>Заступник секретаря РНБО Давид Алоян повідомив Reuters, що система матиме відкриту архітектуру. Україна готова надати пускову установку та ракету-перехоплювач, а партнери — радари, сенсори й технології управління. Йдеться про прототип, а не дату серійного розгортання.</w:t>
      </w:r>
    </w:p>
    <w:p>
      <w:pPr>
        <w:spacing w:before="0" w:after="200"/>
        <w:pBdr>
          <w:bottom w:val="single" w:sz="5" w:space="1" w:color="DDE2E7"/>
        </w:pBdr>
      </w:pPr>
      <w:r>
        <w:rPr>
          <w:rFonts w:ascii="Calibri" w:hAnsi="Calibri"/>
          <w:b/>
          <w:i w:val="0"/>
          <w:color w:val="687163"/>
          <w:sz w:val="19"/>
        </w:rPr>
        <w:t xml:space="preserve">Джерело: </w:t>
      </w:r>
      <w:hyperlink r:id="rId18">
        <w:r>
          <w:rPr>
            <w:color w:val="B5121B"/>
            <w:u w:val="single"/>
            <w:rFonts w:ascii="Calibri" w:hAnsi="Calibri"/>
            <w:sz w:val="19"/>
          </w:rPr>
          <w:t>Reuters</w:t>
        </w:r>
      </w:hyperlink>
    </w:p>
    <w:p>
      <w:pPr>
        <w:keepNext/>
        <w:spacing w:before="180" w:after="80"/>
      </w:pPr>
      <w:r>
        <w:rPr>
          <w:rFonts w:ascii="Calibri" w:hAnsi="Calibri"/>
          <w:b/>
          <w:i w:val="0"/>
          <w:color w:val="B5121B"/>
          <w:sz w:val="17"/>
        </w:rPr>
        <w:t>08   ЕКОНОМІКА</w:t>
      </w:r>
      <w:r>
        <w:rPr>
          <w:rFonts w:ascii="Calibri" w:hAnsi="Calibri"/>
          <w:b/>
          <w:i w:val="0"/>
          <w:color w:val="5E741F"/>
          <w:sz w:val="15"/>
        </w:rPr>
        <w:t xml:space="preserve">    ПЕРЕВІРЕНО</w:t>
      </w:r>
    </w:p>
    <w:p>
      <w:pPr>
        <w:pStyle w:val="Heading2"/>
        <w:spacing w:before="0" w:after="140"/>
      </w:pPr>
      <w:r>
        <w:rPr>
          <w:rFonts w:ascii="Georgia" w:hAnsi="Georgia"/>
          <w:b/>
          <w:i w:val="0"/>
          <w:color w:val="11140F"/>
          <w:sz w:val="31"/>
        </w:rPr>
        <w:t>НБУ запропонував зміни до правил відкриття та закриття рахунків</w:t>
      </w:r>
    </w:p>
    <w:p>
      <w:pPr>
        <w:spacing w:after="120" w:line="288" w:lineRule="auto"/>
      </w:pPr>
      <w:r>
        <w:rPr>
          <w:rFonts w:ascii="Calibri" w:hAnsi="Calibri"/>
          <w:b w:val="0"/>
          <w:i w:val="0"/>
          <w:color w:val="11140F"/>
          <w:sz w:val="20"/>
        </w:rPr>
        <w:t>Національний банк виніс на обговорення проєкт змін, пов’язаний із розвитком фінансової інклюзії та роботою банків фінансової інклюзії через комерційних агентів. Зауваження і пропозиції приймаються до 10 серпня 2026 року.</w:t>
      </w:r>
    </w:p>
    <w:p>
      <w:pPr>
        <w:spacing w:before="0" w:after="200"/>
        <w:pBdr>
          <w:bottom w:val="single" w:sz="5" w:space="1" w:color="DDE2E7"/>
        </w:pBdr>
      </w:pPr>
      <w:r>
        <w:rPr>
          <w:rFonts w:ascii="Calibri" w:hAnsi="Calibri"/>
          <w:b/>
          <w:i w:val="0"/>
          <w:color w:val="687163"/>
          <w:sz w:val="19"/>
        </w:rPr>
        <w:t xml:space="preserve">Джерело: </w:t>
      </w:r>
      <w:hyperlink r:id="rId19">
        <w:r>
          <w:rPr>
            <w:color w:val="B5121B"/>
            <w:u w:val="single"/>
            <w:rFonts w:ascii="Calibri" w:hAnsi="Calibri"/>
            <w:sz w:val="19"/>
          </w:rPr>
          <w:t>Національний банк України</w:t>
        </w:r>
      </w:hyperlink>
    </w:p>
    <w:p>
      <w:pPr>
        <w:keepNext/>
        <w:spacing w:before="180" w:after="80"/>
      </w:pPr>
      <w:r>
        <w:rPr>
          <w:rFonts w:ascii="Calibri" w:hAnsi="Calibri"/>
          <w:b/>
          <w:i w:val="0"/>
          <w:color w:val="B5121B"/>
          <w:sz w:val="17"/>
        </w:rPr>
        <w:t>09   БЕЗПЕКА</w:t>
      </w:r>
      <w:r>
        <w:rPr>
          <w:rFonts w:ascii="Calibri" w:hAnsi="Calibri"/>
          <w:b/>
          <w:i w:val="0"/>
          <w:color w:val="5E741F"/>
          <w:sz w:val="15"/>
        </w:rPr>
        <w:t xml:space="preserve">    ПЕРЕВІРЕНО</w:t>
      </w:r>
    </w:p>
    <w:p>
      <w:pPr>
        <w:pStyle w:val="Heading2"/>
        <w:spacing w:before="0" w:after="140"/>
      </w:pPr>
      <w:r>
        <w:rPr>
          <w:rFonts w:ascii="Georgia" w:hAnsi="Georgia"/>
          <w:b/>
          <w:i w:val="0"/>
          <w:color w:val="11140F"/>
          <w:sz w:val="31"/>
        </w:rPr>
        <w:t>ППО збила або подавила 107 зі 131 запущеного Росією БпЛА</w:t>
      </w:r>
    </w:p>
    <w:p>
      <w:pPr>
        <w:spacing w:after="120" w:line="288" w:lineRule="auto"/>
      </w:pPr>
      <w:r>
        <w:rPr>
          <w:rFonts w:ascii="Calibri" w:hAnsi="Calibri"/>
          <w:b w:val="0"/>
          <w:i w:val="0"/>
          <w:color w:val="11140F"/>
          <w:sz w:val="20"/>
        </w:rPr>
        <w:t>У ніч на 28 липня Росія атакувала Україну БпЛА типів Shahed, «Гербера», «Італмас» і дронами-імітаторами «Пародія». Повітряні сили повідомили про 16 влучань на дев’яти локаціях і падіння уламків на шести. Станом на 08:00 атака тривала.</w:t>
      </w:r>
    </w:p>
    <w:p>
      <w:pPr>
        <w:spacing w:before="0" w:after="200"/>
        <w:pBdr>
          <w:bottom w:val="single" w:sz="5" w:space="1" w:color="DDE2E7"/>
        </w:pBdr>
      </w:pPr>
      <w:r>
        <w:rPr>
          <w:rFonts w:ascii="Calibri" w:hAnsi="Calibri"/>
          <w:b/>
          <w:i w:val="0"/>
          <w:color w:val="687163"/>
          <w:sz w:val="19"/>
        </w:rPr>
        <w:t xml:space="preserve">Джерело: </w:t>
      </w:r>
      <w:hyperlink r:id="rId20">
        <w:r>
          <w:rPr>
            <w:color w:val="B5121B"/>
            <w:u w:val="single"/>
            <w:rFonts w:ascii="Calibri" w:hAnsi="Calibri"/>
            <w:sz w:val="19"/>
          </w:rPr>
          <w:t>Повітряні сили ЗСУ</w:t>
        </w:r>
      </w:hyperlink>
    </w:p>
    <w:p>
      <w:pPr>
        <w:keepNext/>
        <w:spacing w:before="180" w:after="80"/>
      </w:pPr>
      <w:r>
        <w:rPr>
          <w:rFonts w:ascii="Calibri" w:hAnsi="Calibri"/>
          <w:b/>
          <w:i w:val="0"/>
          <w:color w:val="B5121B"/>
          <w:sz w:val="17"/>
        </w:rPr>
        <w:t>10   РЕКРУТИНГ</w:t>
      </w:r>
      <w:r>
        <w:rPr>
          <w:rFonts w:ascii="Calibri" w:hAnsi="Calibri"/>
          <w:b/>
          <w:i w:val="0"/>
          <w:color w:val="687163"/>
          <w:sz w:val="15"/>
        </w:rPr>
        <w:t xml:space="preserve">    НОВИХ ПІДТВЕРДЖЕНИХ ДАНИХ НЕМАЄ</w:t>
      </w:r>
    </w:p>
    <w:p>
      <w:pPr>
        <w:pStyle w:val="Heading2"/>
        <w:spacing w:before="0" w:after="140"/>
      </w:pPr>
      <w:r>
        <w:rPr>
          <w:rFonts w:ascii="Georgia" w:hAnsi="Georgia"/>
          <w:b/>
          <w:i w:val="0"/>
          <w:color w:val="11140F"/>
          <w:sz w:val="31"/>
        </w:rPr>
        <w:t>Нових загальнодержавних змін щодо рекрутингу у вікні моніторингу не оприлюднено</w:t>
      </w:r>
    </w:p>
    <w:p>
      <w:pPr>
        <w:spacing w:after="120" w:line="288" w:lineRule="auto"/>
      </w:pPr>
      <w:r>
        <w:rPr>
          <w:rFonts w:ascii="Calibri" w:hAnsi="Calibri"/>
          <w:b w:val="0"/>
          <w:i w:val="0"/>
          <w:color w:val="11140F"/>
          <w:sz w:val="20"/>
        </w:rPr>
        <w:t>Офіційні платформи Сил оборони продовжують публікувати вакансії та пояснення щодо мобілізації, контрактної служби, рекомендаційних листів і подання резюме. Поточні умови слід перевіряти на офіційній сторінці конкретного підрозділу.</w:t>
      </w:r>
    </w:p>
    <w:p>
      <w:pPr>
        <w:spacing w:before="0" w:after="200"/>
        <w:pBdr>
          <w:bottom w:val="single" w:sz="5" w:space="1" w:color="DDE2E7"/>
        </w:pBdr>
      </w:pPr>
      <w:r>
        <w:rPr>
          <w:rFonts w:ascii="Calibri" w:hAnsi="Calibri"/>
          <w:b/>
          <w:i w:val="0"/>
          <w:color w:val="687163"/>
          <w:sz w:val="19"/>
        </w:rPr>
        <w:t xml:space="preserve">Джерело: </w:t>
      </w:r>
      <w:hyperlink r:id="rId21">
        <w:r>
          <w:rPr>
            <w:color w:val="B5121B"/>
            <w:u w:val="single"/>
            <w:rFonts w:ascii="Calibri" w:hAnsi="Calibri"/>
            <w:sz w:val="19"/>
          </w:rPr>
          <w:t>Сили оборони України</w:t>
        </w:r>
      </w:hyperlink>
    </w:p>
    <w:p>
      <w:pPr>
        <w:keepNext/>
        <w:spacing w:before="180" w:after="80"/>
      </w:pPr>
      <w:r>
        <w:rPr>
          <w:rFonts w:ascii="Calibri" w:hAnsi="Calibri"/>
          <w:b/>
          <w:i w:val="0"/>
          <w:color w:val="B5121B"/>
          <w:sz w:val="17"/>
        </w:rPr>
        <w:t>11   ВОЛОНТЕРСТВО</w:t>
      </w:r>
      <w:r>
        <w:rPr>
          <w:rFonts w:ascii="Calibri" w:hAnsi="Calibri"/>
          <w:b/>
          <w:i w:val="0"/>
          <w:color w:val="5E741F"/>
          <w:sz w:val="15"/>
        </w:rPr>
        <w:t xml:space="preserve">    ПЕРЕВІРЕНО</w:t>
      </w:r>
    </w:p>
    <w:p>
      <w:pPr>
        <w:pStyle w:val="Heading2"/>
        <w:spacing w:before="0" w:after="140"/>
      </w:pPr>
      <w:r>
        <w:rPr>
          <w:rFonts w:ascii="Georgia" w:hAnsi="Georgia"/>
          <w:b/>
          <w:i w:val="0"/>
          <w:color w:val="11140F"/>
          <w:sz w:val="31"/>
        </w:rPr>
        <w:t>У медичному закладі для захисників провели благодійну перукарську акцію</w:t>
      </w:r>
    </w:p>
    <w:p>
      <w:pPr>
        <w:spacing w:after="120" w:line="288" w:lineRule="auto"/>
      </w:pPr>
      <w:r>
        <w:rPr>
          <w:rFonts w:ascii="Calibri" w:hAnsi="Calibri"/>
          <w:b w:val="0"/>
          <w:i w:val="0"/>
          <w:color w:val="11140F"/>
          <w:sz w:val="20"/>
        </w:rPr>
        <w:t>Національна гвардія повідомила про волонтерську ініціативу для військовослужбовців, які проходять лікування та відновлення. Акція була спрямована на повсякденну підтримку, психологічний комфорт і гідність захисників.</w:t>
      </w:r>
    </w:p>
    <w:p>
      <w:pPr>
        <w:spacing w:before="0" w:after="200"/>
        <w:pBdr>
          <w:bottom w:val="single" w:sz="5" w:space="1" w:color="DDE2E7"/>
        </w:pBdr>
      </w:pPr>
      <w:r>
        <w:rPr>
          <w:rFonts w:ascii="Calibri" w:hAnsi="Calibri"/>
          <w:b/>
          <w:i w:val="0"/>
          <w:color w:val="687163"/>
          <w:sz w:val="19"/>
        </w:rPr>
        <w:t xml:space="preserve">Джерело: </w:t>
      </w:r>
      <w:hyperlink r:id="rId22">
        <w:r>
          <w:rPr>
            <w:color w:val="B5121B"/>
            <w:u w:val="single"/>
            <w:rFonts w:ascii="Calibri" w:hAnsi="Calibri"/>
            <w:sz w:val="19"/>
          </w:rPr>
          <w:t>Національна гвардія України</w:t>
        </w:r>
      </w:hyperlink>
    </w:p>
    <w:p>
      <w:pPr>
        <w:keepNext/>
        <w:spacing w:before="180" w:after="80"/>
      </w:pPr>
      <w:r>
        <w:rPr>
          <w:rFonts w:ascii="Calibri" w:hAnsi="Calibri"/>
          <w:b/>
          <w:i w:val="0"/>
          <w:color w:val="B5121B"/>
          <w:sz w:val="17"/>
        </w:rPr>
        <w:t>12   ҐРЕҐІТ</w:t>
      </w:r>
      <w:r>
        <w:rPr>
          <w:rFonts w:ascii="Calibri" w:hAnsi="Calibri"/>
          <w:b/>
          <w:i w:val="0"/>
          <w:color w:val="5E741F"/>
          <w:sz w:val="15"/>
        </w:rPr>
        <w:t xml:space="preserve">    ПЕРЕВІРЕНО</w:t>
      </w:r>
    </w:p>
    <w:p>
      <w:pPr>
        <w:pStyle w:val="Heading2"/>
        <w:spacing w:before="0" w:after="140"/>
      </w:pPr>
      <w:r>
        <w:rPr>
          <w:rFonts w:ascii="Georgia" w:hAnsi="Georgia"/>
          <w:b/>
          <w:i w:val="0"/>
          <w:color w:val="11140F"/>
          <w:sz w:val="31"/>
        </w:rPr>
        <w:t>7-ма артилерійська бригада «Ґреґіт» продовжує набір за широким переліком спеціальностей</w:t>
      </w:r>
    </w:p>
    <w:p>
      <w:pPr>
        <w:spacing w:after="120" w:line="288" w:lineRule="auto"/>
      </w:pPr>
      <w:r>
        <w:rPr>
          <w:rFonts w:ascii="Calibri" w:hAnsi="Calibri"/>
          <w:b w:val="0"/>
          <w:i w:val="0"/>
          <w:color w:val="11140F"/>
          <w:sz w:val="20"/>
        </w:rPr>
        <w:t>На офіційній рекрутинговій сторінці доступні вакансії в артилерії, БпЛА, РЕБ/РЕР, ІТ, зв’язку, медицині, логістиці, ремонті, штабній роботі та забезпеченні. Нових підтверджених повідомлень про бойову роботу у вікні моніторингу не оприлюднено.</w:t>
      </w:r>
    </w:p>
    <w:p>
      <w:pPr>
        <w:spacing w:before="0" w:after="200"/>
        <w:pBdr>
          <w:bottom w:val="single" w:sz="5" w:space="1" w:color="DDE2E7"/>
        </w:pBdr>
      </w:pPr>
      <w:r>
        <w:rPr>
          <w:rFonts w:ascii="Calibri" w:hAnsi="Calibri"/>
          <w:b/>
          <w:i w:val="0"/>
          <w:color w:val="687163"/>
          <w:sz w:val="19"/>
        </w:rPr>
        <w:t xml:space="preserve">Джерело: </w:t>
      </w:r>
      <w:hyperlink r:id="rId23">
        <w:r>
          <w:rPr>
            <w:color w:val="B5121B"/>
            <w:u w:val="single"/>
            <w:rFonts w:ascii="Calibri" w:hAnsi="Calibri"/>
            <w:sz w:val="19"/>
          </w:rPr>
          <w:t>7-ма артилерійська бригада «Ґреґіт»</w:t>
        </w:r>
      </w:hyperlink>
    </w:p>
    <w:p>
      <w:pPr>
        <w:keepNext/>
        <w:spacing w:before="180" w:after="80"/>
      </w:pPr>
      <w:r>
        <w:rPr>
          <w:rFonts w:ascii="Calibri" w:hAnsi="Calibri"/>
          <w:b/>
          <w:i w:val="0"/>
          <w:color w:val="B5121B"/>
          <w:sz w:val="17"/>
        </w:rPr>
        <w:t>13   КОРПУС «ХАРТІЯ»</w:t>
      </w:r>
      <w:r>
        <w:rPr>
          <w:rFonts w:ascii="Calibri" w:hAnsi="Calibri"/>
          <w:b/>
          <w:i w:val="0"/>
          <w:color w:val="687163"/>
          <w:sz w:val="15"/>
        </w:rPr>
        <w:t xml:space="preserve">    НОВИХ ПІДТВЕРДЖЕНИХ ДАНИХ НЕМАЄ</w:t>
      </w:r>
    </w:p>
    <w:p>
      <w:pPr>
        <w:pStyle w:val="Heading2"/>
        <w:spacing w:before="0" w:after="140"/>
      </w:pPr>
      <w:r>
        <w:rPr>
          <w:rFonts w:ascii="Georgia" w:hAnsi="Georgia"/>
          <w:b/>
          <w:i w:val="0"/>
          <w:color w:val="11140F"/>
          <w:sz w:val="31"/>
        </w:rPr>
        <w:t>Нових підтверджених оперативних повідомлень корпусу «Хартія» не зафіксовано</w:t>
      </w:r>
    </w:p>
    <w:p>
      <w:pPr>
        <w:spacing w:after="120" w:line="288" w:lineRule="auto"/>
      </w:pPr>
      <w:r>
        <w:rPr>
          <w:rFonts w:ascii="Calibri" w:hAnsi="Calibri"/>
          <w:b w:val="0"/>
          <w:i w:val="0"/>
          <w:color w:val="11140F"/>
          <w:sz w:val="20"/>
        </w:rPr>
        <w:t>Офіційні відкриті канали корпусу й підрозділів продовжують моніторитися окремо. Відсутність нового публічного повідомлення не означає відсутності бойової роботи; це лише фіксує стан відкритих джерел на 18:00.</w:t>
      </w:r>
    </w:p>
    <w:p>
      <w:pPr>
        <w:spacing w:before="0" w:after="200"/>
        <w:pBdr>
          <w:bottom w:val="single" w:sz="5" w:space="1" w:color="DDE2E7"/>
        </w:pBdr>
      </w:pPr>
      <w:r>
        <w:rPr>
          <w:rFonts w:ascii="Calibri" w:hAnsi="Calibri"/>
          <w:b/>
          <w:i w:val="0"/>
          <w:color w:val="687163"/>
          <w:sz w:val="19"/>
        </w:rPr>
        <w:t xml:space="preserve">Джерело: </w:t>
      </w:r>
      <w:hyperlink r:id="rId24">
        <w:r>
          <w:rPr>
            <w:color w:val="B5121B"/>
            <w:u w:val="single"/>
            <w:rFonts w:ascii="Calibri" w:hAnsi="Calibri"/>
            <w:sz w:val="19"/>
          </w:rPr>
          <w:t>Офіційна сторінка корпусу «Хартія»</w:t>
        </w:r>
      </w:hyperlink>
    </w:p>
    <w:p>
      <w:pPr>
        <w:keepNext/>
        <w:spacing w:before="180" w:after="80"/>
      </w:pPr>
      <w:r>
        <w:rPr>
          <w:rFonts w:ascii="Calibri" w:hAnsi="Calibri"/>
          <w:b/>
          <w:i w:val="0"/>
          <w:color w:val="B5121B"/>
          <w:sz w:val="17"/>
        </w:rPr>
        <w:t>14   ІНШІ ПІДРОЗДІЛИ НГУ ТА СИЛ ОБОРОНИ</w:t>
      </w:r>
      <w:r>
        <w:rPr>
          <w:rFonts w:ascii="Calibri" w:hAnsi="Calibri"/>
          <w:b/>
          <w:i w:val="0"/>
          <w:color w:val="5E741F"/>
          <w:sz w:val="15"/>
        </w:rPr>
        <w:t xml:space="preserve">    ПЕРЕВІРЕНО</w:t>
      </w:r>
    </w:p>
    <w:p>
      <w:pPr>
        <w:pStyle w:val="Heading2"/>
        <w:spacing w:before="0" w:after="140"/>
      </w:pPr>
      <w:r>
        <w:rPr>
          <w:rFonts w:ascii="Georgia" w:hAnsi="Georgia"/>
          <w:b/>
          <w:i w:val="0"/>
          <w:color w:val="11140F"/>
          <w:sz w:val="31"/>
        </w:rPr>
        <w:t>Lasar’s Group уразила російський розвідувальний БпЛА на висоті 6 400 метрів</w:t>
      </w:r>
    </w:p>
    <w:p>
      <w:pPr>
        <w:spacing w:after="120" w:line="288" w:lineRule="auto"/>
      </w:pPr>
      <w:r>
        <w:rPr>
          <w:rFonts w:ascii="Calibri" w:hAnsi="Calibri"/>
          <w:b w:val="0"/>
          <w:i w:val="0"/>
          <w:color w:val="11140F"/>
          <w:sz w:val="20"/>
        </w:rPr>
        <w:t>АрміяInform із посиланням на підрозділ повідомив, що гвардійці Lasar’s Group уразили російський ZALA Z-20 на висоті 6 400 метрів. Видання називає це одним із рекордних показників для такого перехоплення.</w:t>
      </w:r>
    </w:p>
    <w:p>
      <w:pPr>
        <w:spacing w:before="0" w:after="200"/>
        <w:pBdr>
          <w:bottom w:val="single" w:sz="5" w:space="1" w:color="DDE2E7"/>
        </w:pBdr>
      </w:pPr>
      <w:r>
        <w:rPr>
          <w:rFonts w:ascii="Calibri" w:hAnsi="Calibri"/>
          <w:b/>
          <w:i w:val="0"/>
          <w:color w:val="687163"/>
          <w:sz w:val="19"/>
        </w:rPr>
        <w:t xml:space="preserve">Джерело: </w:t>
      </w:r>
      <w:hyperlink r:id="rId25">
        <w:r>
          <w:rPr>
            <w:color w:val="B5121B"/>
            <w:u w:val="single"/>
            <w:rFonts w:ascii="Calibri" w:hAnsi="Calibri"/>
            <w:sz w:val="19"/>
          </w:rPr>
          <w:t>АрміяInform</w:t>
        </w:r>
      </w:hyperlink>
    </w:p>
    <w:p>
      <w:pPr>
        <w:keepNext/>
        <w:spacing w:before="180" w:after="80"/>
      </w:pPr>
      <w:r>
        <w:rPr>
          <w:rFonts w:ascii="Calibri" w:hAnsi="Calibri"/>
          <w:b/>
          <w:i w:val="0"/>
          <w:color w:val="B5121B"/>
          <w:sz w:val="17"/>
        </w:rPr>
        <w:t>15   ЩО ЗАЯВЛЯЄ РОСІЯ</w:t>
      </w:r>
      <w:r>
        <w:rPr>
          <w:rFonts w:ascii="Calibri" w:hAnsi="Calibri"/>
          <w:b/>
          <w:i w:val="0"/>
          <w:color w:val="E53935"/>
          <w:sz w:val="15"/>
        </w:rPr>
        <w:t xml:space="preserve">    ЗАЯВА РОСІЙСЬКОЇ СТОРОНИ</w:t>
      </w:r>
    </w:p>
    <w:p>
      <w:pPr>
        <w:pStyle w:val="Heading2"/>
        <w:spacing w:before="0" w:after="140"/>
      </w:pPr>
      <w:r>
        <w:rPr>
          <w:rFonts w:ascii="Georgia" w:hAnsi="Georgia"/>
          <w:b/>
          <w:i w:val="0"/>
          <w:color w:val="11140F"/>
          <w:sz w:val="31"/>
        </w:rPr>
        <w:t>Міноборони РФ заявило про удари по двох суднах в Україні</w:t>
      </w:r>
    </w:p>
    <w:p>
      <w:pPr>
        <w:spacing w:after="120" w:line="288" w:lineRule="auto"/>
      </w:pPr>
      <w:r>
        <w:rPr>
          <w:rFonts w:ascii="Calibri" w:hAnsi="Calibri"/>
          <w:b w:val="0"/>
          <w:i w:val="0"/>
          <w:color w:val="11140F"/>
          <w:sz w:val="20"/>
        </w:rPr>
        <w:t>Міноборони Росії заявило про ураження суховантажу та судна у Миколаєві. Статус: «Заява російської сторони»; незалежно не підтверджено. Станом на 18:00 редакція не знайшла офіційного українського підтвердження.</w:t>
      </w:r>
    </w:p>
    <w:p>
      <w:pPr>
        <w:spacing w:before="0" w:after="200"/>
        <w:pBdr>
          <w:bottom w:val="single" w:sz="5" w:space="1" w:color="DDE2E7"/>
        </w:pBdr>
      </w:pPr>
      <w:r>
        <w:rPr>
          <w:rFonts w:ascii="Calibri" w:hAnsi="Calibri"/>
          <w:b/>
          <w:i w:val="0"/>
          <w:color w:val="687163"/>
          <w:sz w:val="19"/>
        </w:rPr>
        <w:t xml:space="preserve">Джерело: </w:t>
      </w:r>
      <w:hyperlink r:id="rId26">
        <w:r>
          <w:rPr>
            <w:color w:val="B5121B"/>
            <w:u w:val="single"/>
            <w:rFonts w:ascii="Calibri" w:hAnsi="Calibri"/>
            <w:sz w:val="19"/>
          </w:rPr>
          <w:t>Reuters</w:t>
        </w:r>
      </w:hyperlink>
    </w:p>
    <w:p>
      <w:pPr>
        <w:keepNext/>
        <w:spacing w:before="180" w:after="80"/>
      </w:pPr>
      <w:r>
        <w:rPr>
          <w:rFonts w:ascii="Calibri" w:hAnsi="Calibri"/>
          <w:b/>
          <w:i w:val="0"/>
          <w:color w:val="B5121B"/>
          <w:sz w:val="17"/>
        </w:rPr>
        <w:t>16   OSINT-АНАЛІТИКА</w:t>
      </w:r>
      <w:r>
        <w:rPr>
          <w:rFonts w:ascii="Calibri" w:hAnsi="Calibri"/>
          <w:b/>
          <w:i w:val="0"/>
          <w:color w:val="7F9B28"/>
          <w:sz w:val="15"/>
        </w:rPr>
        <w:t xml:space="preserve">    РЕДАКЦІЙНИЙ ВИСНОВОК</w:t>
      </w:r>
    </w:p>
    <w:p>
      <w:pPr>
        <w:pStyle w:val="Heading2"/>
        <w:spacing w:before="0" w:after="140"/>
      </w:pPr>
      <w:r>
        <w:rPr>
          <w:rFonts w:ascii="Georgia" w:hAnsi="Georgia"/>
          <w:b/>
          <w:i w:val="0"/>
          <w:color w:val="11140F"/>
          <w:sz w:val="31"/>
        </w:rPr>
        <w:t>Відкриті дані вказують на критично високу багатодоменну напруженість</w:t>
      </w:r>
    </w:p>
    <w:p>
      <w:pPr>
        <w:spacing w:after="120" w:line="288" w:lineRule="auto"/>
      </w:pPr>
      <w:r>
        <w:rPr>
          <w:rFonts w:ascii="Calibri" w:hAnsi="Calibri"/>
          <w:b w:val="0"/>
          <w:i w:val="0"/>
          <w:color w:val="11140F"/>
          <w:sz w:val="20"/>
        </w:rPr>
        <w:t>227 бойових зіткнень, 83 авіаційні удари, 269 керованих авіабомб, 10 600 застосувань дронів-камікадзе та нічна хвиля зі 131 БпЛА формують одночасний тиск на фронт, ППО й цивільну інфраструктуру. Це редакційний висновок, а не окреме оперативне повідомлення.</w:t>
      </w:r>
    </w:p>
    <w:p>
      <w:pPr>
        <w:spacing w:before="0" w:after="200"/>
        <w:pBdr>
          <w:bottom w:val="single" w:sz="5" w:space="1" w:color="DDE2E7"/>
        </w:pBdr>
      </w:pPr>
      <w:r>
        <w:rPr>
          <w:rFonts w:ascii="Calibri" w:hAnsi="Calibri"/>
          <w:b/>
          <w:i w:val="0"/>
          <w:color w:val="687163"/>
          <w:sz w:val="19"/>
        </w:rPr>
        <w:t xml:space="preserve">Джерело: </w:t>
      </w:r>
      <w:hyperlink r:id="rId27">
        <w:r>
          <w:rPr>
            <w:color w:val="B5121B"/>
            <w:u w:val="single"/>
            <w:rFonts w:ascii="Calibri" w:hAnsi="Calibri"/>
            <w:sz w:val="19"/>
          </w:rPr>
          <w:t>Генеральний штаб ЗСУ; Повітряні сили ЗСУ</w:t>
        </w:r>
      </w:hyperlink>
    </w:p>
    <w:p>
      <w:pPr>
        <w:keepNext/>
        <w:spacing w:before="180" w:after="80"/>
      </w:pPr>
      <w:r>
        <w:rPr>
          <w:rFonts w:ascii="Calibri" w:hAnsi="Calibri"/>
          <w:b/>
          <w:i w:val="0"/>
          <w:color w:val="B5121B"/>
          <w:sz w:val="17"/>
        </w:rPr>
        <w:t>17   КОРОТКО</w:t>
      </w:r>
      <w:r>
        <w:rPr>
          <w:rFonts w:ascii="Calibri" w:hAnsi="Calibri"/>
          <w:b/>
          <w:i w:val="0"/>
          <w:color w:val="7F9B28"/>
          <w:sz w:val="15"/>
        </w:rPr>
        <w:t xml:space="preserve">    РЕДАКЦІЙНИЙ ВИСНОВОК</w:t>
      </w:r>
    </w:p>
    <w:p>
      <w:pPr>
        <w:pStyle w:val="Heading2"/>
        <w:spacing w:before="0" w:after="140"/>
      </w:pPr>
      <w:r>
        <w:rPr>
          <w:rFonts w:ascii="Georgia" w:hAnsi="Georgia"/>
          <w:b/>
          <w:i w:val="0"/>
          <w:color w:val="11140F"/>
          <w:sz w:val="31"/>
        </w:rPr>
        <w:t>Фокус до ранкового випуску: Вашингтон, ППО, фронт і перевірка морської заяви РФ</w:t>
      </w:r>
    </w:p>
    <w:p>
      <w:pPr>
        <w:spacing w:after="120" w:line="288" w:lineRule="auto"/>
      </w:pPr>
      <w:r>
        <w:rPr>
          <w:rFonts w:ascii="Calibri" w:hAnsi="Calibri"/>
          <w:b w:val="0"/>
          <w:i w:val="0"/>
          <w:color w:val="11140F"/>
          <w:sz w:val="20"/>
        </w:rPr>
        <w:t>До 06:00 редакція відстежуватиме підсумки зустрічі президентів України та США, можливі рішення щодо Patriot і дронової співпраці, нічні повідомлення Повітряних сил, зведення Генштабу та перевірку російської заяви про судна.</w:t>
      </w:r>
    </w:p>
    <w:p>
      <w:pPr>
        <w:spacing w:before="0" w:after="200"/>
      </w:pPr>
      <w:r>
        <w:rPr>
          <w:rFonts w:ascii="Calibri" w:hAnsi="Calibri"/>
          <w:b/>
          <w:i w:val="0"/>
          <w:color w:val="687163"/>
          <w:sz w:val="19"/>
        </w:rPr>
        <w:t xml:space="preserve">Джерело: </w:t>
      </w:r>
      <w:hyperlink r:id="rId28">
        <w:r>
          <w:rPr>
            <w:color w:val="B5121B"/>
            <w:u w:val="single"/>
            <w:rFonts w:ascii="Calibri" w:hAnsi="Calibri"/>
            <w:sz w:val="19"/>
          </w:rPr>
          <w:t>Reuters</w:t>
        </w:r>
      </w:hyperlink>
    </w:p>
    <w:p>
      <w:pPr>
        <w:spacing w:after="160"/>
        <w:pBdr>
          <w:bottom w:val="single" w:sz="12" w:space="1" w:color="11140F"/>
        </w:pBdr>
      </w:pPr>
      <w:r>
        <w:rPr>
          <w:rFonts w:ascii="Calibri" w:hAnsi="Calibri"/>
          <w:b/>
          <w:i w:val="0"/>
          <w:color w:val="B5121B"/>
          <w:sz w:val="18"/>
        </w:rPr>
        <w:t>ПІДСУМОК ДОБИ</w:t>
      </w:r>
    </w:p>
    <w:p>
      <w:pPr>
        <w:spacing w:before="160" w:after="120"/>
      </w:pPr>
      <w:r>
        <w:rPr>
          <w:rFonts w:ascii="Georgia" w:hAnsi="Georgia"/>
          <w:b/>
          <w:i w:val="0"/>
          <w:color w:val="11140F"/>
          <w:sz w:val="36"/>
        </w:rPr>
        <w:t>Висока інтенсивність бойових дій зберігається</w:t>
      </w:r>
    </w:p>
    <w:p>
      <w:pPr>
        <w:spacing w:before="120" w:after="40"/>
      </w:pPr>
      <w:r>
        <w:rPr>
          <w:rFonts w:ascii="Calibri" w:hAnsi="Calibri"/>
          <w:b/>
          <w:i w:val="0"/>
          <w:color w:val="B5121B"/>
          <w:sz w:val="17"/>
        </w:rPr>
        <w:t>ГОЛОВНЕ</w:t>
      </w:r>
    </w:p>
    <w:p>
      <w:pPr>
        <w:spacing w:after="80"/>
      </w:pPr>
      <w:r>
        <w:rPr>
          <w:rFonts w:ascii="Calibri" w:hAnsi="Calibri"/>
          <w:b w:val="0"/>
          <w:i w:val="0"/>
          <w:color w:val="11140F"/>
          <w:sz w:val="20"/>
        </w:rPr>
        <w:t>Ранкове зведення Генерального штабу зафіксувало 227 бойових зіткнень, а Повітряні сили повідомили про 131 БпЛА у нічній атаці.</w:t>
      </w:r>
    </w:p>
    <w:p>
      <w:pPr>
        <w:spacing w:before="120" w:after="40"/>
      </w:pPr>
      <w:r>
        <w:rPr>
          <w:rFonts w:ascii="Calibri" w:hAnsi="Calibri"/>
          <w:b/>
          <w:i w:val="0"/>
          <w:color w:val="B5121B"/>
          <w:sz w:val="17"/>
        </w:rPr>
        <w:t>ЩО ЗМІНИЛОСЯ</w:t>
      </w:r>
    </w:p>
    <w:p>
      <w:pPr>
        <w:spacing w:after="80"/>
      </w:pPr>
      <w:r>
        <w:rPr>
          <w:rFonts w:ascii="Calibri" w:hAnsi="Calibri"/>
          <w:b w:val="0"/>
          <w:i w:val="0"/>
          <w:color w:val="11140F"/>
          <w:sz w:val="20"/>
        </w:rPr>
        <w:t>Оновлено дані про втрати противника, нічну дронову атаку, міжнародну підтримку та заплановані переговори у Вашингтоні.</w:t>
      </w:r>
    </w:p>
    <w:p>
      <w:pPr>
        <w:spacing w:before="120" w:after="40"/>
      </w:pPr>
      <w:r>
        <w:rPr>
          <w:rFonts w:ascii="Calibri" w:hAnsi="Calibri"/>
          <w:b/>
          <w:i w:val="0"/>
          <w:color w:val="B5121B"/>
          <w:sz w:val="17"/>
        </w:rPr>
        <w:t>СТЕЖИТИ НАСТУПНОЇ ДОБИ</w:t>
      </w:r>
    </w:p>
    <w:p>
      <w:pPr>
        <w:spacing w:after="80"/>
      </w:pPr>
      <w:r>
        <w:rPr>
          <w:rFonts w:ascii="Calibri" w:hAnsi="Calibri"/>
          <w:b w:val="0"/>
          <w:i w:val="0"/>
          <w:color w:val="11140F"/>
          <w:sz w:val="20"/>
        </w:rPr>
        <w:t>Результати зустрічей у Вашингтоні, параметри санкційного законопроєкту США, нові рішення щодо протиповітряної оборони та вечірнє зведення Генштабу.</w:t>
      </w:r>
    </w:p>
    <w:p>
      <w:r>
        <w:br w:type="page"/>
      </w:r>
    </w:p>
    <w:p>
      <w:pPr>
        <w:spacing w:before="320" w:after="120"/>
        <w:pBdr>
          <w:bottom w:val="single" w:sz="12" w:space="1" w:color="11140F"/>
        </w:pBdr>
      </w:pPr>
      <w:r>
        <w:rPr>
          <w:rFonts w:ascii="Calibri" w:hAnsi="Calibri"/>
          <w:b/>
          <w:i w:val="0"/>
          <w:color w:val="B5121B"/>
          <w:sz w:val="18"/>
        </w:rPr>
        <w:t>ПРОГНОЗНИЙ WATCHLIST — НЕ ФАКТ</w:t>
      </w:r>
    </w:p>
    <w:tbl>
      <w:tblPr>
        <w:tblW w:type="dxa" w:w="9360"/>
        <w:tblLayout w:type="fixed"/>
        <w:tblLook w:firstColumn="1" w:firstRow="1" w:lastColumn="0" w:lastRow="0" w:noHBand="0" w:noVBand="1" w:val="04A0"/>
        <w:tblInd w:w="120" w:type="dxa"/>
      </w:tblPr>
      <w:tblGrid>
        <w:gridCol w:w="1800"/>
        <w:gridCol w:w="7560"/>
      </w:tblGrid>
      <w:tr>
        <w:tc>
          <w:tcPr>
            <w:tcW w:type="dxa" w:w="1800"/>
            <w:tcMar>
              <w:top w:w="80" w:type="dxa"/>
              <w:start w:w="120" w:type="dxa"/>
              <w:bottom w:w="80" w:type="dxa"/>
              <w:end w:w="120" w:type="dxa"/>
            </w:tcMar>
            <w:shd w:fill="151515"/>
          </w:tcPr>
          <w:p>
            <w:pPr>
              <w:jc w:val="center"/>
            </w:pPr>
            <w:r>
              <w:rPr>
                <w:rFonts w:ascii="Calibri" w:hAnsi="Calibri"/>
                <w:b/>
                <w:i w:val="0"/>
                <w:color w:val="F4E7D2"/>
                <w:sz w:val="16"/>
              </w:rPr>
              <w:t>24 ГОДИНИ</w:t>
            </w:r>
          </w:p>
        </w:tc>
        <w:tc>
          <w:tcPr>
            <w:tcW w:type="dxa" w:w="7560"/>
            <w:tcMar>
              <w:top w:w="80" w:type="dxa"/>
              <w:start w:w="120" w:type="dxa"/>
              <w:bottom w:w="80" w:type="dxa"/>
              <w:end w:w="120" w:type="dxa"/>
            </w:tcMar>
            <w:shd w:fill="F7F0E5"/>
          </w:tcPr>
          <w:p>
            <w:r>
              <w:rPr>
                <w:rFonts w:ascii="Calibri" w:hAnsi="Calibri"/>
                <w:b w:val="0"/>
                <w:i w:val="0"/>
                <w:color w:val="11140F"/>
                <w:sz w:val="18"/>
              </w:rPr>
              <w:t>Висока увага до повторних повітряних атак і збереження інтенсивних бойових дій. Перевіряти лише за повідомленнями Повітряних сил і Генштабу.</w:t>
            </w:r>
          </w:p>
        </w:tc>
      </w:tr>
      <w:tr>
        <w:tc>
          <w:tcPr>
            <w:tcW w:type="dxa" w:w="1800"/>
            <w:tcMar>
              <w:top w:w="80" w:type="dxa"/>
              <w:start w:w="120" w:type="dxa"/>
              <w:bottom w:w="80" w:type="dxa"/>
              <w:end w:w="120" w:type="dxa"/>
            </w:tcMar>
            <w:shd w:fill="151515"/>
          </w:tcPr>
          <w:p>
            <w:pPr>
              <w:jc w:val="center"/>
            </w:pPr>
            <w:r>
              <w:rPr>
                <w:rFonts w:ascii="Calibri" w:hAnsi="Calibri"/>
                <w:b/>
                <w:i w:val="0"/>
                <w:color w:val="F4E7D2"/>
                <w:sz w:val="16"/>
              </w:rPr>
              <w:t>72 ГОДИНИ</w:t>
            </w:r>
          </w:p>
        </w:tc>
        <w:tc>
          <w:tcPr>
            <w:tcW w:type="dxa" w:w="7560"/>
            <w:tcMar>
              <w:top w:w="80" w:type="dxa"/>
              <w:start w:w="120" w:type="dxa"/>
              <w:bottom w:w="80" w:type="dxa"/>
              <w:end w:w="120" w:type="dxa"/>
            </w:tcMar>
            <w:shd w:fill="F5F7EE"/>
          </w:tcPr>
          <w:p>
            <w:r>
              <w:rPr>
                <w:rFonts w:ascii="Calibri" w:hAnsi="Calibri"/>
                <w:b w:val="0"/>
                <w:i w:val="0"/>
                <w:color w:val="11140F"/>
                <w:sz w:val="18"/>
              </w:rPr>
              <w:t>Результати переговорів у Вашингтоні та рух санкційного законопроєкту можуть змінити сигнали міжнародної підтримки.</w:t>
            </w:r>
          </w:p>
        </w:tc>
      </w:tr>
      <w:tr>
        <w:tc>
          <w:tcPr>
            <w:tcW w:type="dxa" w:w="1800"/>
            <w:tcMar>
              <w:top w:w="80" w:type="dxa"/>
              <w:start w:w="120" w:type="dxa"/>
              <w:bottom w:w="80" w:type="dxa"/>
              <w:end w:w="120" w:type="dxa"/>
            </w:tcMar>
            <w:shd w:fill="151515"/>
          </w:tcPr>
          <w:p>
            <w:pPr>
              <w:jc w:val="center"/>
            </w:pPr>
            <w:r>
              <w:rPr>
                <w:rFonts w:ascii="Calibri" w:hAnsi="Calibri"/>
                <w:b/>
                <w:i w:val="0"/>
                <w:color w:val="F4E7D2"/>
                <w:sz w:val="16"/>
              </w:rPr>
              <w:t>7 ДНІВ</w:t>
            </w:r>
          </w:p>
        </w:tc>
        <w:tc>
          <w:tcPr>
            <w:tcW w:type="dxa" w:w="7560"/>
            <w:tcMar>
              <w:top w:w="80" w:type="dxa"/>
              <w:start w:w="120" w:type="dxa"/>
              <w:bottom w:w="80" w:type="dxa"/>
              <w:end w:w="120" w:type="dxa"/>
            </w:tcMar>
            <w:shd w:fill="F7F0E5"/>
          </w:tcPr>
          <w:p>
            <w:r>
              <w:rPr>
                <w:rFonts w:ascii="Calibri" w:hAnsi="Calibri"/>
                <w:b w:val="0"/>
                <w:i w:val="0"/>
                <w:color w:val="11140F"/>
                <w:sz w:val="18"/>
              </w:rPr>
              <w:t>У фокусі — конкретизація рішень щодо Patriot, дронової співпраці та організаційної моделі європейської протибалістичної коаліції.</w:t>
            </w:r>
          </w:p>
        </w:tc>
      </w:tr>
      <w:tr>
        <w:tc>
          <w:tcPr>
            <w:tcW w:type="dxa" w:w="1800"/>
            <w:tcMar>
              <w:top w:w="80" w:type="dxa"/>
              <w:start w:w="120" w:type="dxa"/>
              <w:bottom w:w="80" w:type="dxa"/>
              <w:end w:w="120" w:type="dxa"/>
            </w:tcMar>
            <w:shd w:fill="151515"/>
          </w:tcPr>
          <w:p>
            <w:pPr>
              <w:jc w:val="center"/>
            </w:pPr>
            <w:r>
              <w:rPr>
                <w:rFonts w:ascii="Calibri" w:hAnsi="Calibri"/>
                <w:b/>
                <w:i w:val="0"/>
                <w:color w:val="F4E7D2"/>
                <w:sz w:val="16"/>
              </w:rPr>
              <w:t>30 ДНІВ</w:t>
            </w:r>
          </w:p>
        </w:tc>
        <w:tc>
          <w:tcPr>
            <w:tcW w:type="dxa" w:w="7560"/>
            <w:tcMar>
              <w:top w:w="80" w:type="dxa"/>
              <w:start w:w="120" w:type="dxa"/>
              <w:bottom w:w="80" w:type="dxa"/>
              <w:end w:w="120" w:type="dxa"/>
            </w:tcMar>
            <w:shd w:fill="F5F7EE"/>
          </w:tcPr>
          <w:p>
            <w:r>
              <w:rPr>
                <w:rFonts w:ascii="Calibri" w:hAnsi="Calibri"/>
                <w:b w:val="0"/>
                <w:i w:val="0"/>
                <w:color w:val="11140F"/>
                <w:sz w:val="18"/>
              </w:rPr>
              <w:t>Ключові змінні: темп атак, стійкість ППО, санкційний тиск, оборонні контракти й підтверджені зміни оперативної ініціативи.</w:t>
            </w:r>
          </w:p>
        </w:tc>
      </w:tr>
    </w:tbl>
    <w:p>
      <w:pPr>
        <w:spacing w:before="160" w:after="80"/>
      </w:pPr>
      <w:r>
        <w:rPr>
          <w:rFonts w:ascii="Calibri" w:hAnsi="Calibri"/>
          <w:b w:val="0"/>
          <w:i/>
          <w:color w:val="687163"/>
          <w:sz w:val="17"/>
        </w:rPr>
        <w:t>Прогнозні горизонти є переліком для спостереження, а не твердженням про майбутні події.</w:t>
      </w:r>
    </w:p>
    <w:sectPr w:rsidR="00FC693F" w:rsidRPr="0006063C" w:rsidSect="00034616">
      <w:headerReference w:type="default" r:id="rId9"/>
      <w:headerReference w:type="even" r:id="rId10"/>
      <w:footerReference w:type="default" r:id="rId11"/>
      <w:footerReference w:type="even" r:id="rId12"/>
      <w:pgSz w:w="12240" w:h="15840"/>
      <w:pgMar w:top="1080" w:right="1440" w:bottom="1008"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i w:val="0"/>
        <w:color w:val="687163"/>
        <w:sz w:val="16"/>
      </w:rPr>
      <w:t xml:space="preserve">СУРМАЧ  •  ВИПУСК №003  •  </w:t>
    </w:r>
    <w:fldChar w:fldCharType="begin"/>
    <w:instrText xml:space="preserve">PAGE</w:instrText>
    <w:fldChar w:fldCharType="end"/>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i w:val="0"/>
        <w:color w:val="687163"/>
        <w:sz w:val="16"/>
      </w:rPr>
      <w:t xml:space="preserve">СУРМАЧ  •  ВИПУСК №003  •  </w:t>
    </w:r>
    <w:fldChar w:fldCharType="begin"/>
    <w:instrText xml:space="preserve">PAGE</w:instrText>
    <w:fldChar w:fldCharType="end"/>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6" w:space="1" w:color="D9DEE4"/>
      </w:pBdr>
    </w:pPr>
    <w:r>
      <w:rPr>
        <w:rFonts w:ascii="Calibri" w:hAnsi="Calibri"/>
        <w:b/>
        <w:i w:val="0"/>
        <w:color w:val="B5121B"/>
        <w:sz w:val="18"/>
      </w:rPr>
      <w:t>СУРМАЧ</w:t>
    </w:r>
    <w:r>
      <w:rPr>
        <w:rFonts w:ascii="Calibri" w:hAnsi="Calibri"/>
        <w:b/>
        <w:i w:val="0"/>
        <w:color w:val="687163"/>
        <w:sz w:val="16"/>
      </w:rPr>
      <w:t xml:space="preserve">   ОПЕРАТИВНО, ПЕРЕВІРЕНО, ПО СУТІ.</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6" w:space="1" w:color="D9DEE4"/>
      </w:pBdr>
    </w:pPr>
    <w:r>
      <w:rPr>
        <w:rFonts w:ascii="Calibri" w:hAnsi="Calibri"/>
        <w:b/>
        <w:i w:val="0"/>
        <w:color w:val="B5121B"/>
        <w:sz w:val="18"/>
      </w:rPr>
      <w:t>СУРМАЧ</w:t>
    </w:r>
    <w:r>
      <w:rPr>
        <w:rFonts w:ascii="Calibri" w:hAnsi="Calibri"/>
        <w:b/>
        <w:i w:val="0"/>
        <w:color w:val="687163"/>
        <w:sz w:val="16"/>
      </w:rPr>
      <w:t xml:space="preserve">   ОПЕРАТИВНО, ПЕРЕВІРЕНО, ПО СУТІ.</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1140F"/>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B5121B"/>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B5121B"/>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B5121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yperlink" Target="https://www.reuters.com/legal/government/trump-welcomes-zelenskiy-ahead-funeral-of-senate-ally-who-championed-ukraine-2026-07-28/" TargetMode="External"/><Relationship Id="rId14" Type="http://schemas.openxmlformats.org/officeDocument/2006/relationships/hyperlink" Target="https://www.facebook.com/GeneralStaff.ua/posts/1396202736026134/" TargetMode="External"/><Relationship Id="rId15" Type="http://schemas.openxmlformats.org/officeDocument/2006/relationships/hyperlink" Target="https://www.facebook.com/GeneralStaff.ua/posts/1395868252726249/" TargetMode="External"/><Relationship Id="rId16" Type="http://schemas.openxmlformats.org/officeDocument/2006/relationships/hyperlink" Target="https://www.gov.uk/government/speeches/the-united-kingdom-remains-resolute-and-unwavering-in-its-commitment-to-ukraine-uk-statement-at-the-un-security-council" TargetMode="External"/><Relationship Id="rId17" Type="http://schemas.openxmlformats.org/officeDocument/2006/relationships/hyperlink" Target="https://www.reuters.com/world/us/zelenskiy-meet-us-senators-russia-sanctions-vote-expected-2026-07-27/" TargetMode="External"/><Relationship Id="rId18" Type="http://schemas.openxmlformats.org/officeDocument/2006/relationships/hyperlink" Target="https://www.reuters.com/business/aerospace-defense/ukraine-wants-prototype-european-missile-defence-system-by-mid-2027-official-2026-07-27/" TargetMode="External"/><Relationship Id="rId19" Type="http://schemas.openxmlformats.org/officeDocument/2006/relationships/hyperlink" Target="https://bank.gov.ua/ua/news/all/proponuyetsya-vnesti-zmini-do-poryadku-vidkrittya-ta-zakrittya-rahunkiv-koristuvachiv" TargetMode="External"/><Relationship Id="rId20" Type="http://schemas.openxmlformats.org/officeDocument/2006/relationships/hyperlink" Target="https://www.facebook.com/kpszsu/posts/1489207189913891/" TargetMode="External"/><Relationship Id="rId21" Type="http://schemas.openxmlformats.org/officeDocument/2006/relationships/hyperlink" Target="https://army.gov.ua/zapytannia" TargetMode="External"/><Relationship Id="rId22" Type="http://schemas.openxmlformats.org/officeDocument/2006/relationships/hyperlink" Target="https://ngu.gov.ua/pidtrymka-zahysnykiv-cherez-turbotu-vkotre-u-medychnomu-zakladi-vidbulasya-blagodijna-perukarska-akcziya/" TargetMode="External"/><Relationship Id="rId23" Type="http://schemas.openxmlformats.org/officeDocument/2006/relationships/hyperlink" Target="https://gregit.lobbyx.army/" TargetMode="External"/><Relationship Id="rId24" Type="http://schemas.openxmlformats.org/officeDocument/2006/relationships/hyperlink" Target="https://www.facebook.com/khartiiacorps/" TargetMode="External"/><Relationship Id="rId25" Type="http://schemas.openxmlformats.org/officeDocument/2006/relationships/hyperlink" Target="https://armyinform.com.ua/2026/07/28/yak-try-goverly-nashi-piloty-zbyly-vorozhyj-dron-na-rekordnij-vysoti/" TargetMode="External"/><Relationship Id="rId26" Type="http://schemas.openxmlformats.org/officeDocument/2006/relationships/hyperlink" Target="https://www.reuters.com/world/live-trump-hosts-netanyahu-white-house-iran-attacks-paused-zelenskiy-pushes-2026-07-28/" TargetMode="External"/><Relationship Id="rId27" Type="http://schemas.openxmlformats.org/officeDocument/2006/relationships/hyperlink" Target="https://www.facebook.com/GeneralStaff.ua/posts/1395912892721785/" TargetMode="External"/><Relationship Id="rId28" Type="http://schemas.openxmlformats.org/officeDocument/2006/relationships/hyperlink" Target="https://www.reuters.com/world/us/trump-host-netanyahu-zelenskiy-ukraine-iran-wars-reach-critical-stages-2026-07-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СУРМАЧ — Випуск №003</dc:title>
  <dc:subject>Щоденна українська газета</dc:subject>
  <dc:creator>Редакція «СУРМАЧ»</dc:creator>
  <cp:keywords>Україна, новини, Сурмач, щоденна газета</cp:keywords>
  <dc:description>generated by python-docx</dc:description>
  <cp:lastModifiedBy/>
  <cp:revision>1</cp:revision>
  <dcterms:created xsi:type="dcterms:W3CDTF">2013-12-23T23:15:00Z</dcterms:created>
  <dcterms:modified xsi:type="dcterms:W3CDTF">2013-12-23T23:15:00Z</dcterms:modified>
  <cp:category/>
</cp:coreProperties>
</file>